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59FB" w14:paraId="5F83ED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820190" w14:textId="57EFBA8C" w:rsidR="00751A4A" w:rsidRPr="00C259FB" w:rsidRDefault="00BA1A4C" w:rsidP="0010095E">
            <w:pPr>
              <w:pStyle w:val="EPName"/>
            </w:pPr>
            <w:r w:rsidRPr="00C259FB">
              <w:t>Parlament Europejski</w:t>
            </w:r>
          </w:p>
          <w:p w14:paraId="1F82B6B3" w14:textId="77777777" w:rsidR="00751A4A" w:rsidRPr="00C259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59FB">
              <w:t>2024</w:t>
            </w:r>
            <w:r w:rsidR="00817416" w:rsidRPr="00C259FB">
              <w:t>-202</w:t>
            </w:r>
            <w:r w:rsidRPr="00C259FB">
              <w:t>9</w:t>
            </w:r>
          </w:p>
        </w:tc>
        <w:tc>
          <w:tcPr>
            <w:tcW w:w="2268" w:type="dxa"/>
            <w:shd w:val="clear" w:color="auto" w:fill="auto"/>
          </w:tcPr>
          <w:p w14:paraId="74A7AC25" w14:textId="77777777" w:rsidR="00751A4A" w:rsidRPr="00C259FB" w:rsidRDefault="00187494" w:rsidP="0010095E">
            <w:pPr>
              <w:pStyle w:val="EPLogo"/>
            </w:pPr>
            <w:r w:rsidRPr="00C259FB">
              <w:rPr>
                <w:noProof/>
                <w:lang w:eastAsia="ja-JP"/>
              </w:rPr>
              <w:drawing>
                <wp:inline distT="0" distB="0" distL="0" distR="0" wp14:anchorId="01C2A978" wp14:editId="23EC23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352401" w14:textId="77777777" w:rsidR="00D058B8" w:rsidRPr="00C259FB" w:rsidRDefault="00D058B8" w:rsidP="004C5D52">
      <w:pPr>
        <w:pStyle w:val="LineTop"/>
      </w:pPr>
    </w:p>
    <w:p w14:paraId="08B32ECE" w14:textId="4A6347F7" w:rsidR="00680577" w:rsidRPr="00C259FB" w:rsidRDefault="00BA1A4C" w:rsidP="00680577">
      <w:pPr>
        <w:pStyle w:val="EPBodyTA1"/>
      </w:pPr>
      <w:r w:rsidRPr="00C259FB">
        <w:t>TEKSTY PRZYJĘTE</w:t>
      </w:r>
    </w:p>
    <w:p w14:paraId="5D1752A6" w14:textId="77777777" w:rsidR="00D058B8" w:rsidRPr="00C259FB" w:rsidRDefault="00D058B8" w:rsidP="00D058B8">
      <w:pPr>
        <w:pStyle w:val="LineBottom"/>
      </w:pPr>
    </w:p>
    <w:p w14:paraId="7F43D1A9" w14:textId="7B358B11" w:rsidR="00BA1A4C" w:rsidRPr="00C259FB" w:rsidRDefault="00BA1A4C" w:rsidP="00BA1A4C">
      <w:pPr>
        <w:pStyle w:val="ATHeading1"/>
      </w:pPr>
      <w:bookmarkStart w:id="0" w:name="TANumber"/>
      <w:r w:rsidRPr="00C259FB">
        <w:t>P10_TA(2026)00</w:t>
      </w:r>
      <w:r w:rsidR="007621B7">
        <w:t>24</w:t>
      </w:r>
      <w:bookmarkEnd w:id="0"/>
    </w:p>
    <w:p w14:paraId="3AE7312E" w14:textId="77777777" w:rsidR="00BA1A4C" w:rsidRPr="00C259FB" w:rsidRDefault="00BA1A4C" w:rsidP="00BA1A4C">
      <w:pPr>
        <w:pStyle w:val="ATHeading2"/>
      </w:pPr>
      <w:bookmarkStart w:id="1" w:name="title"/>
      <w:r w:rsidRPr="00C259FB">
        <w:t>Próba przejęcia publicznego nadawcy na Litwie i zagrożenie dla demokracji w tym kraju</w:t>
      </w:r>
      <w:bookmarkEnd w:id="1"/>
    </w:p>
    <w:p w14:paraId="0A567DE1" w14:textId="5FD57F1D" w:rsidR="00BA1A4C" w:rsidRPr="00C259FB" w:rsidRDefault="00BA1A4C" w:rsidP="00BA1A4C">
      <w:pPr>
        <w:rPr>
          <w:i/>
          <w:vanish/>
        </w:rPr>
      </w:pPr>
      <w:r w:rsidRPr="00C259FB">
        <w:rPr>
          <w:i/>
        </w:rPr>
        <w:fldChar w:fldCharType="begin"/>
      </w:r>
      <w:r w:rsidRPr="00C259FB">
        <w:rPr>
          <w:i/>
        </w:rPr>
        <w:instrText xml:space="preserve"> TC"(</w:instrText>
      </w:r>
      <w:bookmarkStart w:id="2" w:name="DocNumber"/>
      <w:r w:rsidRPr="00C259FB">
        <w:rPr>
          <w:i/>
        </w:rPr>
        <w:instrText xml:space="preserve">B10-0070, 0073, 0074, 0075 </w:instrText>
      </w:r>
      <w:r w:rsidR="00166F8A">
        <w:rPr>
          <w:i/>
        </w:rPr>
        <w:instrText>oraz</w:instrText>
      </w:r>
      <w:r w:rsidRPr="00C259FB">
        <w:rPr>
          <w:i/>
        </w:rPr>
        <w:instrText xml:space="preserve"> 0078/2026</w:instrText>
      </w:r>
      <w:bookmarkEnd w:id="2"/>
      <w:r w:rsidRPr="00C259FB">
        <w:rPr>
          <w:i/>
        </w:rPr>
        <w:instrText xml:space="preserve">)"\l3 \n&gt; \* MERGEFORMAT </w:instrText>
      </w:r>
      <w:r w:rsidRPr="00C259FB">
        <w:rPr>
          <w:i/>
        </w:rPr>
        <w:fldChar w:fldCharType="end"/>
      </w:r>
    </w:p>
    <w:p w14:paraId="2C9AD50E" w14:textId="77777777" w:rsidR="00BA1A4C" w:rsidRPr="00C259FB" w:rsidRDefault="00BA1A4C" w:rsidP="00BA1A4C">
      <w:pPr>
        <w:rPr>
          <w:vanish/>
        </w:rPr>
      </w:pPr>
      <w:bookmarkStart w:id="3" w:name="PE"/>
      <w:r w:rsidRPr="00C259FB">
        <w:rPr>
          <w:vanish/>
        </w:rPr>
        <w:t>PE782.026</w:t>
      </w:r>
      <w:bookmarkEnd w:id="3"/>
    </w:p>
    <w:p w14:paraId="558EC892" w14:textId="7B3A2B1C" w:rsidR="00BA1A4C" w:rsidRPr="00C259FB" w:rsidRDefault="00BA1A4C" w:rsidP="005748C5">
      <w:pPr>
        <w:pStyle w:val="ATHeading3"/>
      </w:pPr>
      <w:bookmarkStart w:id="4" w:name="Sujet"/>
      <w:r w:rsidRPr="00C259FB">
        <w:t xml:space="preserve">Rezolucja Parlamentu Europejskiego z dnia </w:t>
      </w:r>
      <w:r w:rsidR="005748C5">
        <w:t>22 stycznia</w:t>
      </w:r>
      <w:r w:rsidRPr="00C259FB">
        <w:t xml:space="preserve"> 2026 r. w sprawie próby przejęcia publicznego nadawcy na Litwie i zagrożenia dla demokracji w tym kraju</w:t>
      </w:r>
      <w:bookmarkEnd w:id="4"/>
      <w:r w:rsidRPr="00C259FB">
        <w:t xml:space="preserve"> </w:t>
      </w:r>
      <w:bookmarkStart w:id="5" w:name="References"/>
      <w:r w:rsidRPr="00C259FB">
        <w:t>(2026/2568(RSP))</w:t>
      </w:r>
      <w:bookmarkEnd w:id="5"/>
    </w:p>
    <w:p w14:paraId="3AFDBF93" w14:textId="77777777" w:rsidR="00784139" w:rsidRPr="00C259FB" w:rsidRDefault="00784139" w:rsidP="00784139">
      <w:pPr>
        <w:pStyle w:val="EPComma"/>
      </w:pPr>
      <w:bookmarkStart w:id="6" w:name="TextBodyBegin"/>
      <w:bookmarkEnd w:id="6"/>
      <w:r w:rsidRPr="00C259FB">
        <w:rPr>
          <w:i/>
        </w:rPr>
        <w:t>Parlament Europejski</w:t>
      </w:r>
      <w:r w:rsidRPr="00C259FB">
        <w:t>,</w:t>
      </w:r>
    </w:p>
    <w:p w14:paraId="33AB3256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art. 2 i 7 Traktatu o Unii Europejskiej (TUE),</w:t>
      </w:r>
    </w:p>
    <w:p w14:paraId="49B6CF1B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Traktat o funkcjonowaniu Unii Europejskiej, w szczególności jego art. 114 i 258,</w:t>
      </w:r>
    </w:p>
    <w:p w14:paraId="05340BB0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Kartę praw podstawowych Unii Europejskiej, w szczególności jej art. 11,</w:t>
      </w:r>
    </w:p>
    <w:p w14:paraId="38B1205A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rozporządzenie Parlamentu Europejskiego i Rady (UE) 2024/1083 z 11 kwietnia 2024 r. w sprawie ustanowienia wspólnych ram dla usług medialnych na rynku wewnętrznym i zmiany dyrektywy 2010/13/UE</w:t>
      </w:r>
      <w:r w:rsidRPr="00C259FB">
        <w:rPr>
          <w:rStyle w:val="FootnoteReference"/>
        </w:rPr>
        <w:footnoteReference w:id="1"/>
      </w:r>
      <w:r w:rsidRPr="00C259FB">
        <w:t xml:space="preserve"> (europejski akt o wolności mediów), w szczególności jego art. 5 i 21,</w:t>
      </w:r>
    </w:p>
    <w:p w14:paraId="7E32E61F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orzecznictwo Trybunału Sprawiedliwości Unii Europejskiej (TSUE) oraz Europejskiego Trybunału Praw Człowieka dotyczące wolności mediów,</w:t>
      </w:r>
    </w:p>
    <w:p w14:paraId="01B333C5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protokół nr 29 w sprawie systemu publicznego nadawania w państwach członkowskich</w:t>
      </w:r>
      <w:r w:rsidRPr="00C259FB">
        <w:rPr>
          <w:rStyle w:val="FootnoteReference"/>
        </w:rPr>
        <w:footnoteReference w:id="2"/>
      </w:r>
      <w:r w:rsidRPr="00C259FB">
        <w:t>,</w:t>
      </w:r>
    </w:p>
    <w:p w14:paraId="52D5AD76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orzecznictwo Trybunału Konstytucyjnego Republiki Litewskiej dotyczące statusu konstytucyjnego i niezależności krajowego nadawcy publicznego, w szczególności jego orzeczenia z 21 grudnia 2006 r., 16 maja 2019 r. i 3 listopada 2020 r.,</w:t>
      </w:r>
    </w:p>
    <w:p w14:paraId="6A6C57BE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 xml:space="preserve">uwzględniając zaktualizowaną listę kontrolną dotyczącą praworządności, sporządzoną przez Europejską Komisję na rzecz Demokracji przez Prawo (Komisja Wenecka), oraz </w:t>
      </w:r>
      <w:r w:rsidRPr="00C259FB">
        <w:lastRenderedPageBreak/>
        <w:t>unijny zestaw narzędzi na rzecz praworządności,</w:t>
      </w:r>
    </w:p>
    <w:p w14:paraId="596EF6A1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niedawne zmiany legislacyjne na Litwie, które mają wpływ na model finansowania krajowego nadawcy publicznego i których celem jest uproszczenie procedury odwołania jego dyrektora generalnego,</w:t>
      </w:r>
    </w:p>
    <w:p w14:paraId="10F859D4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coroczne sprawozdania Komisji na temat praworządności, w szczególności sprawozdanie na temat praworządności z 2025 r., a konkretnie rozdział dotyczący sytuacji w zakresie praworządności na Litwie (SWD(2025)0915),</w:t>
      </w:r>
    </w:p>
    <w:p w14:paraId="229ADD9A" w14:textId="77777777" w:rsidR="00784139" w:rsidRPr="00C259FB" w:rsidRDefault="00784139" w:rsidP="00784139">
      <w:pPr>
        <w:pStyle w:val="NormalHanging12a"/>
      </w:pPr>
      <w:r w:rsidRPr="00C259FB">
        <w:t>–</w:t>
      </w:r>
      <w:r w:rsidRPr="00C259FB">
        <w:tab/>
        <w:t>uwzględniając art. 136 ust. 2 i 4 Regulaminu,</w:t>
      </w:r>
    </w:p>
    <w:p w14:paraId="2A3430A4" w14:textId="77777777" w:rsidR="00784139" w:rsidRPr="00C259FB" w:rsidRDefault="00784139" w:rsidP="00784139">
      <w:pPr>
        <w:pStyle w:val="NormalHanging12a"/>
      </w:pPr>
      <w:r w:rsidRPr="00C259FB">
        <w:t>A.</w:t>
      </w:r>
      <w:r w:rsidRPr="00C259FB">
        <w:tab/>
        <w:t>mając na uwadze, że wolne, niezależne i pluralistyczne media stanowią jeden z podstawowych filarów demokracji, praworządności i ochrony praw podstawowych w UE; mając na uwadze, że osłabienie pozycji krajowych nadawców publicznych podważa standardy wolności mediów w czasach, gdy nasilają się dezinformacja, obca ingerencja i polaryzacja polityczna;</w:t>
      </w:r>
    </w:p>
    <w:p w14:paraId="2F3AD94C" w14:textId="77777777" w:rsidR="00784139" w:rsidRPr="00C259FB" w:rsidRDefault="00784139" w:rsidP="00784139">
      <w:pPr>
        <w:pStyle w:val="NormalHanging12a"/>
      </w:pPr>
      <w:r w:rsidRPr="00C259FB">
        <w:t>B.</w:t>
      </w:r>
      <w:r w:rsidRPr="00C259FB">
        <w:tab/>
        <w:t>mając na uwadze, że dostawcy publicznych usług medialnych odgrywają kluczową rolę w zapewnianiu dostępu do bezstronnych informacji, dzięki czemu są gwarancją pluralizmu, kontrolują osoby sprawujące władzę, rozliczają organy publiczne, przeciwdziałają dezinformacji oraz umożliwiają świadome uczestnictwo demokratyczne; mając na uwadze, że nadawca publiczny może skutecznie pełnić te funkcje tylko wówczas, gdy jego instytucjonalna i redakcyjna niezależność jest w pełni zagwarantowana;</w:t>
      </w:r>
    </w:p>
    <w:p w14:paraId="7FAF0AA7" w14:textId="77777777" w:rsidR="00784139" w:rsidRPr="00C259FB" w:rsidRDefault="00784139" w:rsidP="00784139">
      <w:pPr>
        <w:pStyle w:val="NormalHanging12a"/>
      </w:pPr>
      <w:r w:rsidRPr="00C259FB">
        <w:t>C.</w:t>
      </w:r>
      <w:r w:rsidRPr="00C259FB">
        <w:tab/>
        <w:t>mając na uwadze, że reformy wpływające na dostawców publicznych usług medialnych powinny być podejmowane w sposób przejrzysty i inkluzywny, w porozumieniu z odpowiednimi zainteresowanymi stronami, w tym dziennikarzami, społeczeństwem obywatelskim i ekspertami ds. mediów, oraz zgodnie z prawem UE;</w:t>
      </w:r>
    </w:p>
    <w:p w14:paraId="7938A4E5" w14:textId="77777777" w:rsidR="00784139" w:rsidRPr="00C259FB" w:rsidRDefault="00784139" w:rsidP="00784139">
      <w:pPr>
        <w:pStyle w:val="NormalHanging12a"/>
      </w:pPr>
      <w:r w:rsidRPr="00C259FB">
        <w:t>D.</w:t>
      </w:r>
      <w:r w:rsidRPr="00C259FB">
        <w:tab/>
        <w:t>mając na uwadze, że dostawcy publicznych usług medialnych odgrywają szczególną rolę na wewnętrznym rynku usług medialnych, gdyż dzięki nim obywatele i przedsiębiorstwa uzyskują dostęp do zróżnicowanej oferty treści, w tym wysokiej jakości informacji oraz bezstronnego i wyważonego przekazu medialnego, a zatem odgrywają zasadniczą rolę w ochronie podstawowego prawa do wolności wypowiedzi i informacji, umożliwiając ludziom poszukiwanie i otrzymywanie różnorodnych informacji, a także w promowaniu wartości takich jak demokracja, różnorodność kulturowa i spójność społeczna;</w:t>
      </w:r>
    </w:p>
    <w:p w14:paraId="0D1AEBB1" w14:textId="77777777" w:rsidR="00784139" w:rsidRPr="00C259FB" w:rsidRDefault="00784139" w:rsidP="00784139">
      <w:pPr>
        <w:pStyle w:val="NormalHanging12a"/>
      </w:pPr>
      <w:r w:rsidRPr="00C259FB">
        <w:t>E.</w:t>
      </w:r>
      <w:r w:rsidRPr="00C259FB">
        <w:tab/>
        <w:t xml:space="preserve">mając na uwadze, że niezależne funkcjonowanie dostawców publicznych usług medialnych wymaga solidnych krajowych gwarancji prawnych, aby chronić ich niezależność redakcyjną i instytucjonalną oraz zapewnić bezstronne przekazywanie różnorodnych informacji i opinii; mając na uwadze, że zgodnie z art. 3 europejskiego aktu o wolności mediów państwa członkowskie muszą szanować prawo obywateli do dostępu do różnorodnych treści medialnych niezależnych pod względem redakcyjnym, gdyż sprzyja to wolnemu i demokratycznemu dyskursowi; mając na uwadze, że art. 5 europejskiego aktu o wolności mediów urzeczywistnia te zasady, ustanawiając wiążące gwarancje dotyczące przejrzystych i obiektywnych procedur powoływania i odwoływania dyrektora zarządzającego lub członków zarządu dostawców publicznych usług medialnych, w tym przepisy przewidujące, że każde wcześniejsze odwołanie ma </w:t>
      </w:r>
      <w:r w:rsidRPr="00C259FB">
        <w:lastRenderedPageBreak/>
        <w:t>charakter wyjątkowy, musi być należycie uzasadnione oraz podlega obowiązkowi uprzedniego powiadomienia i kontroli sądowej; mając na uwadze, że art. 5 ust. 3 europejskiego aktu o wolności mediów zobowiązuje państwa członkowskie do dbania o to, aby „procedury finansowania dostawców publicznych usług medialnych opierały się na ustanowionych z wyprzedzeniem przejrzystych i obiektywnych kryteriach”, co zagwarantuje odpowiednie, stabilne i przewidywalne zasoby finansowe dostosowane do ich misji publicznej oraz niezależność redakcyjną; mając na uwadze, że zgodnie z art. 21 europejskiego aktu o wolności mediów krajowe środki ustawodawcze, regulacyjne lub administracyjne, które mogą mieć wpływ na pluralizm mediów lub niezależność redakcyjną, muszą być należycie uzasadnione i proporcjonalne;</w:t>
      </w:r>
    </w:p>
    <w:p w14:paraId="5CD09A93" w14:textId="77777777" w:rsidR="00784139" w:rsidRPr="00C259FB" w:rsidRDefault="00784139" w:rsidP="00784139">
      <w:pPr>
        <w:pStyle w:val="NormalHanging12a"/>
      </w:pPr>
      <w:r w:rsidRPr="00C259FB">
        <w:t>F.</w:t>
      </w:r>
      <w:r w:rsidRPr="00C259FB">
        <w:tab/>
        <w:t>mając na uwadze, że w orędziu o stanie Unii z 2025 r. przewodnicząca Komisji podkreśliła, że upadek tradycyjnych i niezależnych mediów w niektórych częściach UE doprowadził do powstania próżni informacyjnej, w której rządzi dezinformacja, co stanowi poważne zagrożenie dla demokracji; mając na uwadze, że przewodnicząca Komisji zaznaczyła także, iż niezależne media mają zasadnicze znaczenie dla pociągania do odpowiedzialności osób sprawujących władzę i zapobiegania korupcji oraz że zawłaszczenie mediów jest często pierwszym etapem działań typowych dla władz autorytarnych, które umożliwiają regres demokracji i korupcję poza zasięgiem kontroli publicznej;</w:t>
      </w:r>
    </w:p>
    <w:p w14:paraId="49C6D8DC" w14:textId="77777777" w:rsidR="00784139" w:rsidRPr="00C259FB" w:rsidRDefault="00784139" w:rsidP="00784139">
      <w:pPr>
        <w:pStyle w:val="NormalHanging12a"/>
      </w:pPr>
      <w:r w:rsidRPr="00C259FB">
        <w:t>G.</w:t>
      </w:r>
      <w:r w:rsidRPr="00C259FB">
        <w:tab/>
        <w:t>mając na uwadze, że doświadczenia w niektórych państwach członkowskich i na świecie pokazują, że próby przejęcia mediów publicznych mogą stanowić pierwszy krok ku poważniejszemu regresowi demokracji;</w:t>
      </w:r>
    </w:p>
    <w:p w14:paraId="6C7A597E" w14:textId="77777777" w:rsidR="00784139" w:rsidRPr="00C259FB" w:rsidRDefault="00784139" w:rsidP="00784139">
      <w:pPr>
        <w:pStyle w:val="NormalHanging12a"/>
      </w:pPr>
      <w:r w:rsidRPr="00C259FB">
        <w:t>H.</w:t>
      </w:r>
      <w:r w:rsidRPr="00C259FB">
        <w:tab/>
        <w:t>mając na uwadze, że zgodnie z konstytucją Republiki Litewskiej krajowemu nadawcy publicznemu powierzono szczególną misję w interesie publicznym polegającą na dbaniu o to, aby społeczeństwo było odpowiednio informowane na szczeblu krajowym w sposób sprzyjający konstytucyjnym i wspólnym wartościom ludzkim; mając na uwadze, że zgodnie z konstytucją Republiki Litewskiej realizując misję powierzoną mu na mocy ustawy zasadniczej, krajowy nadawca publiczny musi opierać swoją działalność na zasadach demokracji pluralistycznej, obiektywizmu, bezstronności oraz poszanowania godności ludzkiej i praw podstawowych, w tym wolności przekonań i wolności wypowiedzi;</w:t>
      </w:r>
    </w:p>
    <w:p w14:paraId="2CC8345B" w14:textId="77777777" w:rsidR="00784139" w:rsidRPr="00C259FB" w:rsidRDefault="00784139" w:rsidP="00784139">
      <w:pPr>
        <w:pStyle w:val="NormalHanging12a"/>
      </w:pPr>
      <w:r w:rsidRPr="00C259FB">
        <w:t>I.</w:t>
      </w:r>
      <w:r w:rsidRPr="00C259FB">
        <w:tab/>
        <w:t>mając na uwadze, że Trybunał Konstytucyjny Republiki Litewskiej uznał, że misja konstytucyjna krajowego nadawcy publicznego implikuje jego niezależność i że każdy model kontroli musi pozostawać zgodny z zasadą niezależności nadawcy i nie może wiązać się z cenzurą ani ingerencją polityczną;</w:t>
      </w:r>
    </w:p>
    <w:p w14:paraId="178D4B05" w14:textId="77777777" w:rsidR="00784139" w:rsidRPr="00C259FB" w:rsidRDefault="00784139" w:rsidP="00784139">
      <w:pPr>
        <w:pStyle w:val="NormalHanging12a"/>
      </w:pPr>
      <w:r w:rsidRPr="00C259FB">
        <w:t>J.</w:t>
      </w:r>
      <w:r w:rsidRPr="00C259FB">
        <w:tab/>
        <w:t>mając na uwadze, że po wyborach parlamentarnych na Litwie w 2024 r. utworzono koalicję rządzącą, w której skład wchodzi skrajnie prawicowa populistyczna partia Świt Niemna (Nemuno Aušra); mając na uwadze, że 25 kwietnia 2024 r. Trybunał Konstytucyjny Republiki Litewskiej stwierdził, że przywódca tej partii dopuścił się rażącego naruszenia konstytucji i złamał przysięgę konstytucyjną poprzez antysemickie i podżegające do nienawiści oświadczenia; mając na uwadze, że ustalenia te zostały następnie potwierdzone przez sąd pierwszej instancji; mając na uwadze, że ani koalicja rządząca, ani partia Świt Niemna nie zdystansowały się od tych działań; mając na uwadze, że lider partii Świt Niemna nadal odgrywa znaczącą rolę w rządzącej większości i aktywnie wspiera kampanię wymierzoną w Litewskie Radio i Telewizję (LRT);</w:t>
      </w:r>
    </w:p>
    <w:p w14:paraId="2283CEFE" w14:textId="77777777" w:rsidR="00784139" w:rsidRPr="00C259FB" w:rsidRDefault="00784139" w:rsidP="00784139">
      <w:pPr>
        <w:pStyle w:val="NormalHanging12a"/>
      </w:pPr>
      <w:r w:rsidRPr="00C259FB">
        <w:lastRenderedPageBreak/>
        <w:t>K.</w:t>
      </w:r>
      <w:r w:rsidRPr="00C259FB">
        <w:tab/>
        <w:t>mając na uwadze, że premier Litwy wywodzący się z koalicji rządzącej musiał zrezygnować w lipcu 2025 r. w następstwie ustaleń dziennikarzy śledczych, w tym doniesień LRT, które wzbudziły poważne obawy dotyczące jego ewentualnego zaangażowania w praktyki korupcyjne; mając na uwadze, że pod koniec 2025 r. inicjatywy ustawodawcze wpływające na finansowanie LRT i zarządzanie tym podmiotem wzbudziły na szczeblu krajowym i międzynarodowym obawy o wolność mediów i niezależność instytucjonalną;</w:t>
      </w:r>
    </w:p>
    <w:p w14:paraId="35A8A763" w14:textId="77777777" w:rsidR="00784139" w:rsidRPr="00C259FB" w:rsidRDefault="00784139" w:rsidP="00784139">
      <w:pPr>
        <w:pStyle w:val="NormalHanging12a"/>
      </w:pPr>
      <w:r w:rsidRPr="00C259FB">
        <w:t>L.</w:t>
      </w:r>
      <w:r w:rsidRPr="00C259FB">
        <w:tab/>
        <w:t>mając na uwadze, że z inicjatywy członków rządzącej większości parlamentarnej, litewską Krajową Izbę Kontroli upoważniono do przeprowadzenia kompleksowej kontroli wykonania zadań przez LRT, w ramach której oceniono jego działalność w latach 2021–2024 pod względem gospodarności, wydajności i skuteczności; mając na uwadze, że w swoich wnioskach litewska Krajowa Izba Kontroli stwierdziła, że zdecydowana większość strategicznych i operacyjnych wskaźników efektywności LRT została osiągnięta na poziomie co najmniej 90 % oraz że planowanie i wykorzystanie zasobów finansowych LRT było uzasadnione i przejrzyste, przy czym uwagi wymagają niektóre aspekty, takie jak zamówienia publiczne i procedury rekrutacji personelu; mając na uwadze, że zalecenia z audytu służyły dalszej poprawie procedur wewnętrznych i że nie zalecono zmian w modelu finansowania, strukturze zarządzania czy kierownictwie LRT ani nie zwrócono się o podjęcie działań politycznych czy instytucjonalnych w tym zakresie; mając na uwadze, że po tych ustaleniach litewskiej Krajowej Izby Kontroli nastąpiły dalsze działania, w tym inspekcje w pokrywających się terminach, wnioski kierowane do innych organów państwowych o weryfikację działalności LRT oraz powtarzające się ataki publiczne na kierownictwo LRT; mając na uwadze, że niektóre organizacje medialne i dziennikarskie ostrzegły, że wyniki audytu są myląco prezentowane opinii publicznej i wybiórczo wykorzystywane w dyskursie politycznym; mając na uwadze, że zalecenia z audytu ani inne argumenty nie mogą uzasadniać środków ustawodawczych sprzecznych z litewską konstytucją i europejskim aktem o wolności mediów;</w:t>
      </w:r>
    </w:p>
    <w:p w14:paraId="222A54E3" w14:textId="77777777" w:rsidR="00784139" w:rsidRPr="00C259FB" w:rsidRDefault="00784139" w:rsidP="00784139">
      <w:pPr>
        <w:pStyle w:val="NormalHanging12a"/>
      </w:pPr>
      <w:r w:rsidRPr="00C259FB">
        <w:t>M.</w:t>
      </w:r>
      <w:r w:rsidRPr="00C259FB">
        <w:tab/>
        <w:t xml:space="preserve">mając na uwadze, że 27 listopada 2025 r. parlament Litwy przyjął poprawki do ustawy o litewskiej krajowej radiofonii i telewizji, w wyniku czego budżet LRT na lata 2026–2028 zamrożono na poziomie z 2025 r., tj. 79,6 mln EUR, i zmniejszono jego przyszły udział w dochodach podatkowych, co doprowadziło do strukturalnego i długoterminowego obniżenia finansowania publicznego; mając na uwadze, że zmiany te zostały wprowadzone na krótko przed ich przyjęciem, a przyjęte zostały w przeddzień nowego roku budżetowego bez odpowiedniej debaty, co wśród podmiotów zainteresowanych kwestią wolności mediów budzi poważne obawy co do pewności prawa, uzasadnionych oczekiwań i zgodności z zasadą </w:t>
      </w:r>
      <w:r w:rsidRPr="00C259FB">
        <w:rPr>
          <w:i/>
          <w:iCs/>
        </w:rPr>
        <w:t>vacatio legis</w:t>
      </w:r>
      <w:r w:rsidRPr="00C259FB">
        <w:t xml:space="preserve"> będącą nieodłącznym elementem rządów prawa;</w:t>
      </w:r>
    </w:p>
    <w:p w14:paraId="4D074CB9" w14:textId="77777777" w:rsidR="00784139" w:rsidRPr="00C259FB" w:rsidRDefault="00784139" w:rsidP="00784139">
      <w:pPr>
        <w:pStyle w:val="NormalHanging12a"/>
      </w:pPr>
      <w:r w:rsidRPr="00C259FB">
        <w:t>N.</w:t>
      </w:r>
      <w:r w:rsidRPr="00C259FB">
        <w:tab/>
        <w:t>mając na uwadze, że następnie przedłożono projekty ustaw obniżających zabezpieczenia przed wczesnym odwołaniem dyrektora generalnego LRT przez Radę LRT, w której dwie trzecie (8 z 12) członków mianują władze polityczne, mianowicie prezydent i parlament (po czterech); mając na uwadze, że w owych projektach ustaw proponuje się zastąpienie większości kwalifikowanej niezbędnej do odwołania dyrektora generalnego zwykłą większością głosów, zniesienie wymogu uzasadnienia względami interesu publicznego oraz wprowadzenie tajnego głosowania w Radzie LRT;</w:t>
      </w:r>
    </w:p>
    <w:p w14:paraId="2C174141" w14:textId="77777777" w:rsidR="00784139" w:rsidRPr="00C259FB" w:rsidRDefault="00784139" w:rsidP="00784139">
      <w:pPr>
        <w:pStyle w:val="NormalHanging12a"/>
      </w:pPr>
      <w:r w:rsidRPr="00C259FB">
        <w:t>O.</w:t>
      </w:r>
      <w:r w:rsidRPr="00C259FB">
        <w:tab/>
        <w:t xml:space="preserve">mając na uwadze, że te inicjatywy ustawodawcze wprowadzono i realizowano w ramach przyspieszonych procedur, przy braku obiektywnie uzasadnionych okoliczności </w:t>
      </w:r>
      <w:r w:rsidRPr="00C259FB">
        <w:lastRenderedPageBreak/>
        <w:t>wyjątkowych, co narusza zasady przejrzystości, inkluzywności i znaczącego udziału zainteresowanych stron i społeczeństwa obywatelskiego oraz nie spełnia unijnych ani konstytucyjnych standardów odpowiedzialnego sprawowania rządów; mając na uwadze, że Rada Europy, Europejska Unia Nadawców, międzynarodowe organizacje dziennikarzy, Wydział Prawny parlamentu Litwy, Litewski Krajowy Komitet ds. UNESCO oraz przedstawiciel Organizacji Bezpieczeństwa i Współpracy w Europie (OBWE) ds. wolności mediów zgodnie ostrzegają, że środki te znacznie zwiększają podatność LRT na naciski polityczne; mając na uwadze, że Specjalna Służba Śledcza Republiki Litewskiej – krajowy organ antykorupcyjny – zidentyfikowała zagrożenia związane z korupcją w swojej ocenie proponowanych zmian legislacyjnych i stwierdziła, że wprowadzenie tajnego głosowania w odniesieniu do odwołania dyrektora generalnego LRT może być sprzeczne z zasadami przejrzystości, otwartości i odpowiedzialności publicznej, które są podwaliną demokratycznych rządów i państwa prawa;</w:t>
      </w:r>
    </w:p>
    <w:p w14:paraId="132F319C" w14:textId="77777777" w:rsidR="00784139" w:rsidRPr="00C259FB" w:rsidRDefault="00784139" w:rsidP="00784139">
      <w:pPr>
        <w:pStyle w:val="NormalHanging12a"/>
      </w:pPr>
      <w:r w:rsidRPr="00C259FB">
        <w:t>P.</w:t>
      </w:r>
      <w:r w:rsidRPr="00C259FB">
        <w:tab/>
        <w:t xml:space="preserve">mając na uwadze, że ostrze proponowanych zmian jest najwyraźniej wymierzone przeciwko urzędującej dyrektor generalnej LRT, o czym świadczą publiczne oświadczenia złożone w toku prac legislacyjnych, będące wyrazem niezadowolenia z wyników jej pracy i wyraźnie wskazujące na zamiar odwołania jej ze stanowiska; mając na uwadze, że przepisy wymierzone w konkretną osobę (prawo </w:t>
      </w:r>
      <w:r w:rsidRPr="00C259FB">
        <w:rPr>
          <w:i/>
        </w:rPr>
        <w:t>ad personam)</w:t>
      </w:r>
      <w:r w:rsidRPr="00C259FB">
        <w:t xml:space="preserve"> nie są zgodne z zasadami praworządności, w tym z zasadą pewności prawa, większością przepisów i zakazem arbitralnego sprawowania władzy;</w:t>
      </w:r>
    </w:p>
    <w:p w14:paraId="148EDCBB" w14:textId="77777777" w:rsidR="00784139" w:rsidRPr="00C259FB" w:rsidRDefault="00784139" w:rsidP="00784139">
      <w:pPr>
        <w:pStyle w:val="NormalHanging12a"/>
      </w:pPr>
      <w:r w:rsidRPr="00C259FB">
        <w:t>Q.</w:t>
      </w:r>
      <w:r w:rsidRPr="00C259FB">
        <w:tab/>
        <w:t>mając na uwadze, że 9 grudnia 2025 r. pracownicy LRT podjęli strajk, aby zaprotestować przeciwko tym zmianom, które – jak ostrzegają – „zlikwidowałyby gwarancje chroniące niezależność LRT”; mając na uwadze, że próby przejęcia LRT spowodowały falę publicznych protestów, kilkadziesiąt tysięcy obywateli demonstrowało w Wilnie 9 grudnia i w dniach 16–18 grudnia 2025 r., a ponad 140 tys. podpisało publiczną petycję przeciwko inicjatywom ustawodawczym, co świadczy o szerokim zaniepokojeniu społecznym o wolność mediów i standardy demokratyczne na Litwie;</w:t>
      </w:r>
    </w:p>
    <w:p w14:paraId="47B6A81B" w14:textId="77777777" w:rsidR="00784139" w:rsidRPr="00C259FB" w:rsidRDefault="00784139" w:rsidP="00784139">
      <w:pPr>
        <w:pStyle w:val="NormalHanging12a"/>
      </w:pPr>
      <w:r w:rsidRPr="00C259FB">
        <w:t>R.</w:t>
      </w:r>
      <w:r w:rsidRPr="00C259FB">
        <w:tab/>
        <w:t>mając na uwadze, że Parlament Europejski ma obowiązek solidaryzować się ze społeczeństwem obywatelskim broniącym wartości demokratycznych, w tym wolności wypowiedzi, mediów i zgromadzeń, oraz podejmować zdecydowane działania w przypadku wystąpienia w UE systemowych zagrożeń dla demokracji, praworządności i wolności mediów;</w:t>
      </w:r>
    </w:p>
    <w:p w14:paraId="455BFA29" w14:textId="77777777" w:rsidR="00784139" w:rsidRPr="00C259FB" w:rsidRDefault="00784139" w:rsidP="00784139">
      <w:pPr>
        <w:pStyle w:val="NormalHanging12a"/>
      </w:pPr>
      <w:r w:rsidRPr="00C259FB">
        <w:t>S.</w:t>
      </w:r>
      <w:r w:rsidRPr="00C259FB">
        <w:tab/>
        <w:t>mając na uwadze, że po wstrzymaniu przyspieszonych inicjatyw ustawodawczych powołano parlamentarną grupę roboczą w celu zbadania modelu zarządzania LRT; mając na uwadze, że Stowarzyszenie Dziennikarzy Zawodowych i grupa inicjatywna dziennikarzy LRT odmówiły udziału w tej grupie, wskazując na brak dialogu, wybiórcze zaproszenia i oświadczenia, z których wynika, że zakwestionowane zmiany zostaną ponownie wzięte pod uwagę; mając na uwadze, że organizacje te ostrzegły, iż proces ten grozi legitymizacją ingerencji politycznej pod pozorem konsultacji oraz ponownymi próbami wprowadzenia pośredniej cenzury i osłabieniem gwarancji niezależności redakcyjnej;</w:t>
      </w:r>
    </w:p>
    <w:p w14:paraId="7498D560" w14:textId="77777777" w:rsidR="00784139" w:rsidRPr="00C259FB" w:rsidRDefault="00784139" w:rsidP="00784139">
      <w:pPr>
        <w:pStyle w:val="NormalHanging12a"/>
      </w:pPr>
      <w:r w:rsidRPr="00C259FB">
        <w:t>T.</w:t>
      </w:r>
      <w:r w:rsidRPr="00C259FB">
        <w:tab/>
        <w:t xml:space="preserve">mając na uwadze, że w związku z podjętymi inicjatywami ustawodawczymi mającymi wpływ na zarządzanie LRT nadawcę skrytykowano za wykorzystywanie czasu antenowego i zasobów na rzecz akcji protestacyjnych dziennikarzy w obronie wolności </w:t>
      </w:r>
      <w:r w:rsidRPr="00C259FB">
        <w:lastRenderedPageBreak/>
        <w:t>wypowiedzi, co obejmowało również transmisję minut ciszy; mając na uwadze, że takie oświadczenia mogą powodować presję polityczną i mieć niekorzystny wpływ na niezależność redakcyjną;</w:t>
      </w:r>
    </w:p>
    <w:p w14:paraId="263EC5F4" w14:textId="77777777" w:rsidR="00784139" w:rsidRPr="00C259FB" w:rsidRDefault="00784139" w:rsidP="00784139">
      <w:pPr>
        <w:pStyle w:val="NormalHanging12a"/>
      </w:pPr>
      <w:r w:rsidRPr="00C259FB">
        <w:t>U.</w:t>
      </w:r>
      <w:r w:rsidRPr="00C259FB">
        <w:tab/>
        <w:t>mając na uwadze, że według Platformy Rady Europy na rzecz Bezpieczeństwa Dziennikarzy przydział środków finansowych na podstawie PKB dla mediów publicznych na Litwie jest już jednym z najniższych w UE, a LRT ostrzegło, że przedłużające się ograniczenia finansowe utrudniłyby mu wypełnianie prawnie umocowanej roli jako głównego krajowego źródła informującego o sytuacjach kryzysowych i nadzwyczajnych, w tym jego zdolność do utrzymania nieprzerwanego nadawania w sytuacjach nadzwyczajnych w kraju;</w:t>
      </w:r>
    </w:p>
    <w:p w14:paraId="513CE1B4" w14:textId="77777777" w:rsidR="00784139" w:rsidRPr="00C259FB" w:rsidRDefault="00784139" w:rsidP="00784139">
      <w:pPr>
        <w:pStyle w:val="NormalHanging12a"/>
      </w:pPr>
      <w:r w:rsidRPr="00C259FB">
        <w:t>V.</w:t>
      </w:r>
      <w:r w:rsidRPr="00C259FB">
        <w:tab/>
        <w:t>mając na uwadze, że w swoim sprawozdaniu na temat praworządności z 2025 r. Komisja wydała zalecenia krajowe dla Litwy i wezwała do dalszych wysiłków na rzecz wzmocnienia niezależności i stabilnego finansowania mediów publicznych oraz przejrzystego zarządzania nimi, w tym zabezpieczeń przed wpływami politycznymi w procedurach powoływania i odwoływania;</w:t>
      </w:r>
    </w:p>
    <w:p w14:paraId="27AB9BD8" w14:textId="77777777" w:rsidR="00784139" w:rsidRPr="00C259FB" w:rsidRDefault="00784139" w:rsidP="00784139">
      <w:pPr>
        <w:pStyle w:val="NormalHanging12a"/>
      </w:pPr>
      <w:r w:rsidRPr="00C259FB">
        <w:t>W.</w:t>
      </w:r>
      <w:r w:rsidRPr="00C259FB">
        <w:tab/>
        <w:t>mając na uwadze, że LRT zwróciło się do Komisji Weneckiej Rady Europy o wydanie w trybie pilnym opinii w sprawie zmian oczekujących na przyjęcie; mając na uwadze, że Komisja Wenecka postanowiła przygotować w trybie pilnym opinię w sprawie odpowiednich zmian legislacyjnych, co podkreśla powagę sytuacji; mając na uwadze, że 19 i 20 stycznia Komisja Wenecka udała się na Litwę, aby ocenić sytuację;</w:t>
      </w:r>
    </w:p>
    <w:p w14:paraId="7D86850E" w14:textId="77777777" w:rsidR="00784139" w:rsidRPr="00C259FB" w:rsidRDefault="00784139" w:rsidP="00784139">
      <w:pPr>
        <w:pStyle w:val="NormalHanging12a"/>
      </w:pPr>
      <w:r w:rsidRPr="00C259FB">
        <w:t>1.</w:t>
      </w:r>
      <w:r w:rsidRPr="00C259FB">
        <w:tab/>
        <w:t>dostrzega i docenia zasadniczą rolę mediów publicznych, w szczególności krajowych dostawców usług medialnych realizujących misję publiczną, w ochronie i promowaniu wartości zapisanych w art. 2 TUE oraz w przeciwdziałaniu dezinformacji, propagandzie i innym formom manipulacji informacjami, a tym samym w ochronie pluralistycznej i odpornej demokracji; podkreśla, że niezależne i wiarygodne media są niezbędne dla rozliczalności demokratycznej, gdyż umożliwiają obywatelom kontrolowanie osób sprawujących władzę oraz wykrywanie korupcji i nadużywania stanowisk; podkreśla, że osłabianie niezależnych mediów znacznie osłabia rozliczalność demokratyczną, ułatwia rozpowszechnianie dezinformacji i korupcję oraz odbiera obywatelom zdolność do rozliczania osób sprawujących władzę;</w:t>
      </w:r>
    </w:p>
    <w:p w14:paraId="2CAB7741" w14:textId="77777777" w:rsidR="00784139" w:rsidRPr="00C259FB" w:rsidRDefault="00784139" w:rsidP="00784139">
      <w:pPr>
        <w:pStyle w:val="NormalHanging12a"/>
      </w:pPr>
      <w:r w:rsidRPr="00C259FB">
        <w:t>2.</w:t>
      </w:r>
      <w:r w:rsidRPr="00C259FB">
        <w:tab/>
        <w:t>zauważa, że próby polaryzacji społeczeństwa, osłabienia zaufania do instytucji demokratycznych i podkopania niezależnych mediów służą celom wojny hybrydowej prowadzonej przez Federację Rosyjską i inne wrogie mocarstwa przeciwko UE i jej państwom członkowskim w celu obniżenia odporności demokratycznej; podkreśla, że silni i niezależni nadawcy publiczni stanowią kluczową linię obrony przed taką wrogą ingerencją;</w:t>
      </w:r>
    </w:p>
    <w:p w14:paraId="490AB42E" w14:textId="77777777" w:rsidR="00784139" w:rsidRPr="00C259FB" w:rsidRDefault="00784139" w:rsidP="00784139">
      <w:pPr>
        <w:pStyle w:val="NormalHanging12a"/>
      </w:pPr>
      <w:r w:rsidRPr="00C259FB">
        <w:t>3.</w:t>
      </w:r>
      <w:r w:rsidRPr="00C259FB">
        <w:tab/>
        <w:t>wzywa Komisję i państwa członkowskie do uznania dziennikarstwa śledczego za kluczowy element odporności demokratycznej oraz do zadbania o to, aby media publiczne były w stanie strukturalnie i finansowo wspierać dziennikarstwo śledcze, w tym w ramach długoterminowych i zasobochłonnych śledztw, oraz aby dziennikarze legalnie wykonujący swoje obowiązki byli chronieni przed wszelkimi bezpośrednimi lub pośrednimi naciskami politycznymi, zastraszaniem lub odwetem;</w:t>
      </w:r>
    </w:p>
    <w:p w14:paraId="3AAF3210" w14:textId="77777777" w:rsidR="00784139" w:rsidRPr="00C259FB" w:rsidRDefault="00784139" w:rsidP="00784139">
      <w:pPr>
        <w:pStyle w:val="NormalHanging12a"/>
      </w:pPr>
      <w:r w:rsidRPr="00C259FB">
        <w:t>4.</w:t>
      </w:r>
      <w:r w:rsidRPr="00C259FB">
        <w:tab/>
        <w:t xml:space="preserve">wyraża pełną solidarność z litewskimi dziennikarzami, LRT i podmiotami społeczeństwa obywatelskiego broniącymi wolności mediów, w tym niezależności </w:t>
      </w:r>
      <w:r w:rsidRPr="00C259FB">
        <w:lastRenderedPageBreak/>
        <w:t>instytucjonalnej i redakcyjnej LRT;</w:t>
      </w:r>
    </w:p>
    <w:p w14:paraId="6E20521F" w14:textId="77777777" w:rsidR="00784139" w:rsidRPr="00C259FB" w:rsidRDefault="00784139" w:rsidP="00784139">
      <w:pPr>
        <w:pStyle w:val="NormalHanging12a"/>
      </w:pPr>
      <w:r w:rsidRPr="00C259FB">
        <w:t>5.</w:t>
      </w:r>
      <w:r w:rsidRPr="00C259FB">
        <w:tab/>
        <w:t>potępia wszelkie próby podważenia niezależności LRT, w tym środki ustawodawcze i administracyjne oraz naciski polityczne mające na celu uzyskanie kontroli politycznej nad LRT;</w:t>
      </w:r>
    </w:p>
    <w:p w14:paraId="68FB65F2" w14:textId="77777777" w:rsidR="00784139" w:rsidRPr="00C259FB" w:rsidRDefault="00784139" w:rsidP="00784139">
      <w:pPr>
        <w:pStyle w:val="NormalHanging12a"/>
      </w:pPr>
      <w:r w:rsidRPr="00C259FB">
        <w:t>6.</w:t>
      </w:r>
      <w:r w:rsidRPr="00C259FB">
        <w:tab/>
        <w:t>uważa, że zamrożenie finansowania dla LRT i jego obniżenie, choć nie ma ku temu obiektywnych przesłanek ekonomicznych, stanowi nacisk polityczny niezgodny z gwarancjami konstytucyjnymi i art. 5 ust. 3 europejskiego aktu o wolności mediów;</w:t>
      </w:r>
    </w:p>
    <w:p w14:paraId="0F82EA54" w14:textId="77777777" w:rsidR="00784139" w:rsidRPr="00C259FB" w:rsidRDefault="00784139" w:rsidP="00784139">
      <w:pPr>
        <w:pStyle w:val="NormalHanging12a"/>
      </w:pPr>
      <w:r w:rsidRPr="00C259FB">
        <w:t>7.</w:t>
      </w:r>
      <w:r w:rsidRPr="00C259FB">
        <w:tab/>
        <w:t>uważa, że proponowane zmiany mające na celu obniżenie poziomu zabezpieczeń w przypadku wcześniejszego odwołania dyrektora generalnego LRT mogą umożliwić arbitralną ingerencję polityczną i są sprzeczne zarówno z gwarancjami konstytucyjnymi, jak i europejskimi standardami niezależności mediów publicznych, w tym z art. 5 ust. 2 europejskiego aktu o wolności mediów;</w:t>
      </w:r>
    </w:p>
    <w:p w14:paraId="2C646432" w14:textId="77777777" w:rsidR="00784139" w:rsidRPr="00C259FB" w:rsidRDefault="00784139" w:rsidP="00784139">
      <w:pPr>
        <w:pStyle w:val="NormalHanging12a"/>
      </w:pPr>
      <w:r w:rsidRPr="00C259FB">
        <w:t>8.</w:t>
      </w:r>
      <w:r w:rsidRPr="00C259FB">
        <w:tab/>
        <w:t xml:space="preserve">zdecydowanie potępia wszelkie formy ustawodawstwa </w:t>
      </w:r>
      <w:r w:rsidRPr="00C259FB">
        <w:rPr>
          <w:i/>
        </w:rPr>
        <w:t>ad personam</w:t>
      </w:r>
      <w:r w:rsidRPr="00C259FB">
        <w:t xml:space="preserve"> i przypomina, że przepisy wymierzone w konkretne osoby w związku z niezależnym wykonywaniem przez nie działalności zawodowej są sprzeczne z zasadami demokracji pluralistycznej i państwa prawa;</w:t>
      </w:r>
    </w:p>
    <w:p w14:paraId="2264972D" w14:textId="77777777" w:rsidR="00784139" w:rsidRPr="00C259FB" w:rsidRDefault="00784139" w:rsidP="00784139">
      <w:pPr>
        <w:pStyle w:val="NormalHanging12a"/>
      </w:pPr>
      <w:r w:rsidRPr="00C259FB">
        <w:t>9.</w:t>
      </w:r>
      <w:r w:rsidRPr="00C259FB">
        <w:tab/>
        <w:t>podkreśla, że zastosowanie przyspieszonych procedur ustawodawczych w odniesieniu do tych zmian nie ma obiektywnych i uzasadnionych konstytucyjnie podstaw, nie zapewnia przejrzystości, inkluzywności i realnego udziału kluczowych zainteresowanych stron i społeczeństwa obywatelskiego oraz nie spełnia wymogów przejrzystej, rozliczalnej, inkluzywnej i demokratycznej procedury stanowienia prawa nieodłącznie związanej z zasadą praworządności i najlepszymi europejskimi praktykami w zakresie procesu legislacyjnego;</w:t>
      </w:r>
    </w:p>
    <w:p w14:paraId="080857FE" w14:textId="77777777" w:rsidR="00784139" w:rsidRPr="00C259FB" w:rsidRDefault="00784139" w:rsidP="00784139">
      <w:pPr>
        <w:pStyle w:val="NormalHanging12a"/>
      </w:pPr>
      <w:r w:rsidRPr="00C259FB">
        <w:t>10.</w:t>
      </w:r>
      <w:r w:rsidRPr="00C259FB">
        <w:tab/>
        <w:t>wzywa parlament Litwy do odrzucenia zmian oczekujących na przyjęcie, w tym dotyczących obniżenia progu wymaganego do odwołania dyrektora generalnego LRT, zniesienia wymogu, aby odwołanie opierało się na obiektywnych względach interesu publicznego, oraz wprowadzenia tajnych głosowań, a także do dopilnowania, aby wszelkie zmiany legislacyjne, jeśli okażą się potrzebne, były przyjmowane dopiero po wydaniu opinii przez Komisję Wenecką oraz były zgodne z europejskim aktem o wolności mediów i zaleceniami Komisji Weneckiej oraz przedstawiciela Organizacji Bezpieczeństwa i Współpracy w Europie ds. wolności mediów;</w:t>
      </w:r>
    </w:p>
    <w:p w14:paraId="4324590E" w14:textId="77777777" w:rsidR="00784139" w:rsidRPr="00C259FB" w:rsidRDefault="00784139" w:rsidP="00784139">
      <w:pPr>
        <w:pStyle w:val="NormalHanging12a"/>
      </w:pPr>
      <w:r w:rsidRPr="00C259FB">
        <w:t>11.</w:t>
      </w:r>
      <w:r w:rsidRPr="00C259FB">
        <w:tab/>
        <w:t>wzywa parlament i rząd Litwy do ograniczenia do minimum politycznego wpływu na tworzenie Rady LRT, w tym poprzez ograniczenie liczby mandatów przyznawanych osobom nominowanym przez organy polityczne i wprowadzenie odpowiednich wymogów zawodowych dla członków Rady; ponadto wzywa parlament i rząd litewski do nieprzyjmowania nowych i uchylenia już przyjętych środków ustawodawczych i ram budżetowych, które podważają niezależność LRT, oraz do zapewnienia mu stabilnego, przewidywalnego i odpowiedniego finansowania zgodnego z wymogami europejskiego aktu o wolności mediów, w szczególności do uchylenia wymogów sprzecznych z art. 5 europejskiego aktu o wolności mediów w odniesieniu do ochrony zarządów mediów publicznych przed odwołaniem z powodów politycznych i do zapewnienia stabilnego finansowania nadawcy publicznego;</w:t>
      </w:r>
    </w:p>
    <w:p w14:paraId="64794740" w14:textId="77777777" w:rsidR="00784139" w:rsidRPr="00C259FB" w:rsidRDefault="00784139" w:rsidP="00784139">
      <w:pPr>
        <w:pStyle w:val="NormalHanging12a"/>
      </w:pPr>
      <w:r w:rsidRPr="00C259FB">
        <w:t>12.</w:t>
      </w:r>
      <w:r w:rsidRPr="00C259FB">
        <w:tab/>
        <w:t xml:space="preserve">zwraca się do Komisji o monitorowanie wszelkich zmian dotyczących wolności </w:t>
      </w:r>
      <w:r w:rsidRPr="00C259FB">
        <w:lastRenderedPageBreak/>
        <w:t>mediów i niezależności mediów publicznych na Litwie, o ocenę zgodności przyjętych i oczekujących na przyjęcie zmian z europejskim aktem o wolności mediów i zasadą praworządności, o odpowiednie poinformowanie władz litewskich oraz o wykorzystanie wszystkich narzędzi, w tym postępowań w sprawie uchybienia zobowiązaniom państwa członkowskiego i unijnego zestawu narzędzi na rzecz praworządności, w przypadku nieprzestrzegania przepisów;</w:t>
      </w:r>
    </w:p>
    <w:p w14:paraId="1BAF41F0" w14:textId="77777777" w:rsidR="00784139" w:rsidRPr="00C259FB" w:rsidRDefault="00784139" w:rsidP="00784139">
      <w:pPr>
        <w:pStyle w:val="NormalHanging12a"/>
      </w:pPr>
      <w:r w:rsidRPr="00C259FB">
        <w:t>13.</w:t>
      </w:r>
      <w:r w:rsidRPr="00C259FB">
        <w:tab/>
        <w:t>wzywa władze litewskie, aby zintensyfikowały szerokie i przejrzyste konsultacje ze społeczeństwem obywatelskim, przedstawicielami mediów i instytucjami UE na temat zarządzania mediami publicznymi oraz finansowania; zwraca się do partii politycznych o dokładne rozważenie proponowanych zmian do ustawy o LRT i dopilnowanie, by przyszłe zmiany legislacyjne były przedmiotem konsultacji społecznych, w których udział wezmą również krajowi i międzynarodowi dziennikarze, organizacje działające na rzecz wolności mediów oraz kierownictwo LRT;</w:t>
      </w:r>
    </w:p>
    <w:p w14:paraId="2D8145F1" w14:textId="77777777" w:rsidR="00784139" w:rsidRPr="00C259FB" w:rsidRDefault="00784139" w:rsidP="00784139">
      <w:pPr>
        <w:pStyle w:val="NormalHanging12a"/>
      </w:pPr>
      <w:r w:rsidRPr="00C259FB">
        <w:t>14.</w:t>
      </w:r>
      <w:r w:rsidRPr="00C259FB">
        <w:tab/>
        <w:t>przypomina, że doświadczenia innych państw członkowskich i na całym świecie pokazują, iż próby przejęcia mediów publicznych są często pierwszym etapem głębszego regresu demokracji, który prowadzi do ograniczenia wolności mediów, niezależności sądów i uczciwości wyborów; z dużym zaniepokojeniem zauważa, że media publiczne i publiczni nadawcy w całej Europie są coraz częściej przedmiotem ataków politycznych i ideologicznych, kampanii oszczerstw, zastraszania oraz prób podważania ich niezależności redakcyjnej i stabilnego finansowania przez skrajnie prawicowe podmioty dążące do osłabienia niezależnego dziennikarstwa i demokratycznych mechanizmów kontroli i równowagi;</w:t>
      </w:r>
    </w:p>
    <w:p w14:paraId="5364F967" w14:textId="77777777" w:rsidR="00784139" w:rsidRPr="00C259FB" w:rsidRDefault="00784139" w:rsidP="00784139">
      <w:pPr>
        <w:pStyle w:val="NormalHanging12a"/>
      </w:pPr>
      <w:r w:rsidRPr="00C259FB">
        <w:t>15.</w:t>
      </w:r>
      <w:r w:rsidRPr="00C259FB">
        <w:tab/>
        <w:t>przypomina o istotnej roli, jaką publiczni nadawcy odgrywają w utrzymaniu pluralizmu mediów, jak zaznaczono w protokole nr 29 załączonym do traktatów; wzywa państwa członkowskie do zapewnienia odpowiednich środków finansowych i technicznych, aby nadawcy publiczni mogli pełnić swą rolę społeczną i służyć interesowi publicznemu; ponadto wzywa państwa członkowskie do zagwarantowania nadawcom publicznym niezależności redakcyjnej poprzez udzielenie im ochrony – na podstawie jasno określonych ram regulacyjnych – przed wszelkiego rodzaju ingerencjami rządowymi, politycznymi i komercyjnymi, a jednocześnie do zapewnienia niezależności i pełnej autonomii w zarządzaniu wszystkim organom publicznym i podmiotom mającym uprawnienia wykonawcze w dziedzinie radia i telewizji oraz telekomunikacji;</w:t>
      </w:r>
    </w:p>
    <w:p w14:paraId="63C0CFDD" w14:textId="77777777" w:rsidR="00784139" w:rsidRPr="00C259FB" w:rsidRDefault="00784139" w:rsidP="00784139">
      <w:pPr>
        <w:pStyle w:val="NormalHanging12a"/>
      </w:pPr>
      <w:r w:rsidRPr="00C259FB">
        <w:t xml:space="preserve">16. </w:t>
      </w:r>
      <w:r w:rsidRPr="00C259FB">
        <w:tab/>
        <w:t>podkreśla, że ochrona niezależności mediów publicznych jest wspólnym europejskim obowiązkiem i podstawowym warunkiem wiarygodności UE jako wspólnoty opartej na demokracji, praworządności i prawach podstawowych;</w:t>
      </w:r>
    </w:p>
    <w:p w14:paraId="76F33D41" w14:textId="77777777" w:rsidR="00784139" w:rsidRPr="00C259FB" w:rsidRDefault="00784139" w:rsidP="00784139">
      <w:pPr>
        <w:pStyle w:val="NormalHanging12a"/>
      </w:pPr>
      <w:r w:rsidRPr="00C259FB">
        <w:t xml:space="preserve">17. </w:t>
      </w:r>
      <w:r w:rsidRPr="00C259FB">
        <w:tab/>
        <w:t>z zadowoleniem przyjmuje zobowiązanie Komisji do wzmocnienia odporności mediów w całej UE, w tym przez zwiększenie finansowania i ukierunkowane wsparcie dla niezależnych, lokalnych i publicznych mediów; zaznacza, że takie wsparcie ma zasadnicze znaczenie dla zapobiegania regresowi demokracji i dla ochrony świadomego uczestnictwa obywatelskiego;</w:t>
      </w:r>
    </w:p>
    <w:p w14:paraId="6BD232ED" w14:textId="0194CF35" w:rsidR="00E365E1" w:rsidRPr="00C259FB" w:rsidRDefault="00784139" w:rsidP="005748C5">
      <w:pPr>
        <w:pStyle w:val="NormalHanging12a"/>
      </w:pPr>
      <w:r w:rsidRPr="00C259FB">
        <w:t>18.</w:t>
      </w:r>
      <w:r w:rsidRPr="00C259FB">
        <w:tab/>
        <w:t>zobowiązuje swoją przewodniczącą do przekazania niniejszej rezolucji Komisji, Radzie, parlamentowi Litwy, prezydentowi i rządowi Republiki Litewskiej oraz Radzie Europy.</w:t>
      </w:r>
    </w:p>
    <w:sectPr w:rsidR="00E365E1" w:rsidRPr="00C259FB" w:rsidSect="00C259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16EEC" w14:textId="77777777" w:rsidR="00BA1A4C" w:rsidRPr="00C259FB" w:rsidRDefault="00BA1A4C">
      <w:r w:rsidRPr="00C259FB">
        <w:separator/>
      </w:r>
    </w:p>
  </w:endnote>
  <w:endnote w:type="continuationSeparator" w:id="0">
    <w:p w14:paraId="2C2627AC" w14:textId="77777777" w:rsidR="00BA1A4C" w:rsidRPr="00C259FB" w:rsidRDefault="00BA1A4C">
      <w:r w:rsidRPr="00C259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794F" w14:textId="77777777" w:rsidR="00064002" w:rsidRPr="00C259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7A10" w14:textId="77777777" w:rsidR="00064002" w:rsidRPr="00C259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90E7A" w14:textId="77777777" w:rsidR="00064002" w:rsidRPr="00C259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F60D4" w14:textId="77777777" w:rsidR="00BA1A4C" w:rsidRPr="00C259FB" w:rsidRDefault="00BA1A4C">
      <w:r w:rsidRPr="00C259FB">
        <w:separator/>
      </w:r>
    </w:p>
  </w:footnote>
  <w:footnote w:type="continuationSeparator" w:id="0">
    <w:p w14:paraId="67074620" w14:textId="77777777" w:rsidR="00BA1A4C" w:rsidRPr="00C259FB" w:rsidRDefault="00BA1A4C">
      <w:r w:rsidRPr="00C259FB">
        <w:continuationSeparator/>
      </w:r>
    </w:p>
  </w:footnote>
  <w:footnote w:id="1">
    <w:p w14:paraId="4C21E45E" w14:textId="7543CFEE" w:rsidR="00784139" w:rsidRPr="00C259FB" w:rsidRDefault="00784139" w:rsidP="00C259FB">
      <w:pPr>
        <w:pStyle w:val="FootnoteText"/>
        <w:ind w:left="567" w:hanging="567"/>
        <w:rPr>
          <w:sz w:val="24"/>
          <w:lang w:val="pl-PL"/>
        </w:rPr>
      </w:pPr>
      <w:r w:rsidRPr="00C259FB">
        <w:rPr>
          <w:rStyle w:val="FootnoteReference"/>
          <w:sz w:val="24"/>
          <w:lang w:val="pl-PL"/>
        </w:rPr>
        <w:footnoteRef/>
      </w:r>
      <w:r w:rsidR="00C259FB" w:rsidRPr="00C259FB">
        <w:rPr>
          <w:sz w:val="24"/>
          <w:lang w:val="pl-PL"/>
        </w:rPr>
        <w:t xml:space="preserve"> </w:t>
      </w:r>
      <w:r w:rsidR="00C259FB" w:rsidRPr="00C259FB">
        <w:rPr>
          <w:sz w:val="24"/>
          <w:lang w:val="pl-PL"/>
        </w:rPr>
        <w:tab/>
      </w:r>
      <w:r w:rsidRPr="00C259FB">
        <w:rPr>
          <w:sz w:val="24"/>
          <w:lang w:val="pl-PL"/>
        </w:rPr>
        <w:t xml:space="preserve">Dz.U. L, 2024/1083, 17.4.2024, ELI: </w:t>
      </w:r>
      <w:hyperlink r:id="rId1" w:history="1">
        <w:r w:rsidRPr="00C259FB">
          <w:rPr>
            <w:rStyle w:val="Hyperlink"/>
            <w:sz w:val="24"/>
            <w:lang w:val="pl-PL"/>
          </w:rPr>
          <w:t>http://data.europa.eu/eli/reg/2024/1083/oj</w:t>
        </w:r>
      </w:hyperlink>
      <w:r w:rsidRPr="00C259FB">
        <w:rPr>
          <w:sz w:val="24"/>
          <w:lang w:val="pl-PL"/>
        </w:rPr>
        <w:t>.</w:t>
      </w:r>
    </w:p>
  </w:footnote>
  <w:footnote w:id="2">
    <w:p w14:paraId="4B42DAFD" w14:textId="46BC248A" w:rsidR="00784139" w:rsidRPr="00C259FB" w:rsidRDefault="00784139" w:rsidP="00C259FB">
      <w:pPr>
        <w:pStyle w:val="FootnoteText"/>
        <w:ind w:left="567" w:hanging="567"/>
        <w:rPr>
          <w:sz w:val="24"/>
          <w:lang w:val="pl-PL"/>
        </w:rPr>
      </w:pPr>
      <w:r w:rsidRPr="00C259FB">
        <w:rPr>
          <w:rStyle w:val="FootnoteReference"/>
          <w:sz w:val="24"/>
          <w:lang w:val="pl-PL"/>
        </w:rPr>
        <w:footnoteRef/>
      </w:r>
      <w:r w:rsidR="00C259FB" w:rsidRPr="00C259FB">
        <w:rPr>
          <w:sz w:val="24"/>
          <w:lang w:val="pl-PL"/>
        </w:rPr>
        <w:t xml:space="preserve"> </w:t>
      </w:r>
      <w:r w:rsidR="00C259FB" w:rsidRPr="00C259FB">
        <w:rPr>
          <w:sz w:val="24"/>
          <w:lang w:val="pl-PL"/>
        </w:rPr>
        <w:tab/>
      </w:r>
      <w:r w:rsidRPr="00C259FB">
        <w:rPr>
          <w:sz w:val="24"/>
          <w:lang w:val="pl-PL"/>
        </w:rPr>
        <w:t xml:space="preserve">Dz.U. C 326 z 26.10.2012, s. 312, ELI: </w:t>
      </w:r>
      <w:hyperlink r:id="rId2" w:history="1">
        <w:r w:rsidRPr="00C259FB">
          <w:rPr>
            <w:rStyle w:val="Hyperlink"/>
            <w:sz w:val="24"/>
            <w:lang w:val="pl-PL"/>
          </w:rPr>
          <w:t>http://data.europa.eu/eli/treaty/tfeu_2012/pro_29/oj</w:t>
        </w:r>
      </w:hyperlink>
      <w:r w:rsidRPr="00C259FB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A59D" w14:textId="77777777" w:rsidR="00064002" w:rsidRPr="00C259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74B8" w14:textId="77777777" w:rsidR="00064002" w:rsidRPr="00C259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3569D" w14:textId="77777777" w:rsidR="00064002" w:rsidRPr="00C259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4615914">
    <w:abstractNumId w:val="9"/>
  </w:num>
  <w:num w:numId="2" w16cid:durableId="804277136">
    <w:abstractNumId w:val="9"/>
  </w:num>
  <w:num w:numId="3" w16cid:durableId="95760807">
    <w:abstractNumId w:val="7"/>
  </w:num>
  <w:num w:numId="4" w16cid:durableId="1519006411">
    <w:abstractNumId w:val="7"/>
  </w:num>
  <w:num w:numId="5" w16cid:durableId="1995252112">
    <w:abstractNumId w:val="6"/>
  </w:num>
  <w:num w:numId="6" w16cid:durableId="36662270">
    <w:abstractNumId w:val="6"/>
  </w:num>
  <w:num w:numId="7" w16cid:durableId="655229004">
    <w:abstractNumId w:val="5"/>
  </w:num>
  <w:num w:numId="8" w16cid:durableId="1691953978">
    <w:abstractNumId w:val="5"/>
  </w:num>
  <w:num w:numId="9" w16cid:durableId="663633331">
    <w:abstractNumId w:val="4"/>
  </w:num>
  <w:num w:numId="10" w16cid:durableId="1945267635">
    <w:abstractNumId w:val="4"/>
  </w:num>
  <w:num w:numId="11" w16cid:durableId="1985232424">
    <w:abstractNumId w:val="8"/>
  </w:num>
  <w:num w:numId="12" w16cid:durableId="1363479838">
    <w:abstractNumId w:val="8"/>
  </w:num>
  <w:num w:numId="13" w16cid:durableId="1522474951">
    <w:abstractNumId w:val="3"/>
  </w:num>
  <w:num w:numId="14" w16cid:durableId="937829070">
    <w:abstractNumId w:val="3"/>
  </w:num>
  <w:num w:numId="15" w16cid:durableId="1690137744">
    <w:abstractNumId w:val="2"/>
  </w:num>
  <w:num w:numId="16" w16cid:durableId="1890452006">
    <w:abstractNumId w:val="2"/>
  </w:num>
  <w:num w:numId="17" w16cid:durableId="1001395661">
    <w:abstractNumId w:val="1"/>
  </w:num>
  <w:num w:numId="18" w16cid:durableId="819542761">
    <w:abstractNumId w:val="1"/>
  </w:num>
  <w:num w:numId="19" w16cid:durableId="425923329">
    <w:abstractNumId w:val="0"/>
  </w:num>
  <w:num w:numId="20" w16cid:durableId="1958220953">
    <w:abstractNumId w:val="0"/>
  </w:num>
  <w:num w:numId="21" w16cid:durableId="163206880">
    <w:abstractNumId w:val="9"/>
  </w:num>
  <w:num w:numId="22" w16cid:durableId="2079132143">
    <w:abstractNumId w:val="7"/>
  </w:num>
  <w:num w:numId="23" w16cid:durableId="776560223">
    <w:abstractNumId w:val="6"/>
  </w:num>
  <w:num w:numId="24" w16cid:durableId="977226289">
    <w:abstractNumId w:val="5"/>
  </w:num>
  <w:num w:numId="25" w16cid:durableId="575168111">
    <w:abstractNumId w:val="4"/>
  </w:num>
  <w:num w:numId="26" w16cid:durableId="1921671931">
    <w:abstractNumId w:val="8"/>
  </w:num>
  <w:num w:numId="27" w16cid:durableId="1463115418">
    <w:abstractNumId w:val="3"/>
  </w:num>
  <w:num w:numId="28" w16cid:durableId="1746999955">
    <w:abstractNumId w:val="2"/>
  </w:num>
  <w:num w:numId="29" w16cid:durableId="1967813051">
    <w:abstractNumId w:val="1"/>
  </w:num>
  <w:num w:numId="30" w16cid:durableId="1851144217">
    <w:abstractNumId w:val="0"/>
  </w:num>
  <w:num w:numId="31" w16cid:durableId="95172280">
    <w:abstractNumId w:val="9"/>
  </w:num>
  <w:num w:numId="32" w16cid:durableId="1805462147">
    <w:abstractNumId w:val="7"/>
  </w:num>
  <w:num w:numId="33" w16cid:durableId="1840923315">
    <w:abstractNumId w:val="6"/>
  </w:num>
  <w:num w:numId="34" w16cid:durableId="728110636">
    <w:abstractNumId w:val="5"/>
  </w:num>
  <w:num w:numId="35" w16cid:durableId="1751537768">
    <w:abstractNumId w:val="4"/>
  </w:num>
  <w:num w:numId="36" w16cid:durableId="1017655538">
    <w:abstractNumId w:val="8"/>
  </w:num>
  <w:num w:numId="37" w16cid:durableId="697006075">
    <w:abstractNumId w:val="3"/>
  </w:num>
  <w:num w:numId="38" w16cid:durableId="411700393">
    <w:abstractNumId w:val="2"/>
  </w:num>
  <w:num w:numId="39" w16cid:durableId="269316913">
    <w:abstractNumId w:val="1"/>
  </w:num>
  <w:num w:numId="40" w16cid:durableId="1964076933">
    <w:abstractNumId w:val="0"/>
  </w:num>
  <w:num w:numId="41" w16cid:durableId="1821851197">
    <w:abstractNumId w:val="10"/>
  </w:num>
  <w:num w:numId="42" w16cid:durableId="1655796940">
    <w:abstractNumId w:val="10"/>
  </w:num>
  <w:num w:numId="43" w16cid:durableId="498736839">
    <w:abstractNumId w:val="10"/>
  </w:num>
  <w:num w:numId="44" w16cid:durableId="1425490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0, 0073, 0074, 0075 i 0078/2026"/>
    <w:docVar w:name="dvlangue" w:val="PL"/>
    <w:docVar w:name="dvnumam" w:val="0"/>
    <w:docVar w:name="dvpe" w:val="782.026"/>
    <w:docVar w:name="dvtitre" w:val="Rezolucja Parlamentu Europejskiego z dnia  2026 r. w sprawie próby przejęcia publicznego nadawcy na Litwie i zagrożenia dla demokracji w tym kraju(2026/2568(RSP))"/>
  </w:docVars>
  <w:rsids>
    <w:rsidRoot w:val="00BA1A4C"/>
    <w:rsid w:val="00002272"/>
    <w:rsid w:val="00064002"/>
    <w:rsid w:val="000677B9"/>
    <w:rsid w:val="000831BA"/>
    <w:rsid w:val="000A42CC"/>
    <w:rsid w:val="000E7DD9"/>
    <w:rsid w:val="0010095E"/>
    <w:rsid w:val="00125B37"/>
    <w:rsid w:val="00166F8A"/>
    <w:rsid w:val="00187494"/>
    <w:rsid w:val="001F32AE"/>
    <w:rsid w:val="002767FF"/>
    <w:rsid w:val="00280EE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8C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1B7"/>
    <w:rsid w:val="00762C74"/>
    <w:rsid w:val="0078413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A4C"/>
    <w:rsid w:val="00BD48FE"/>
    <w:rsid w:val="00BD7BD8"/>
    <w:rsid w:val="00BE6ADC"/>
    <w:rsid w:val="00C05BFE"/>
    <w:rsid w:val="00C23CD4"/>
    <w:rsid w:val="00C259FB"/>
    <w:rsid w:val="00C61C0C"/>
    <w:rsid w:val="00C941CB"/>
    <w:rsid w:val="00CC2357"/>
    <w:rsid w:val="00CF071A"/>
    <w:rsid w:val="00D058B8"/>
    <w:rsid w:val="00D331B2"/>
    <w:rsid w:val="00D56C11"/>
    <w:rsid w:val="00D834A0"/>
    <w:rsid w:val="00D872DF"/>
    <w:rsid w:val="00D91E21"/>
    <w:rsid w:val="00DA7FCD"/>
    <w:rsid w:val="00E256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EB948"/>
  <w15:chartTrackingRefBased/>
  <w15:docId w15:val="{0F50BAE3-805F-45F4-8B49-7423F55F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8413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8413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84139"/>
    <w:rPr>
      <w:sz w:val="24"/>
      <w:lang w:val="pl-PL"/>
    </w:rPr>
  </w:style>
  <w:style w:type="character" w:styleId="Hyperlink">
    <w:name w:val="Hyperlink"/>
    <w:basedOn w:val="DefaultParagraphFont"/>
    <w:rsid w:val="007841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treaty/tfeu_2012/pro_29/oj" TargetMode="External"/><Relationship Id="rId1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3194</Words>
  <Characters>21511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2026-01-21T21:11:00Z</dcterms:created>
  <dcterms:modified xsi:type="dcterms:W3CDTF">2026-01-22T13:03:00Z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B10-0070, 0073, 0074, 0075 i 0078/2026</vt:lpwstr>
  </property>
  <property fmtid="{D5CDD505-2E9C-101B-9397-08002B2CF9AE}" pid="4" name="&lt;Type&gt;">
    <vt:lpwstr>RR</vt:lpwstr>
  </property>
</Properties>
</file>