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5DF4" w14:paraId="5B1B5A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CD1FB6" w14:textId="77777777" w:rsidR="00751A4A" w:rsidRPr="00AE5DF4" w:rsidRDefault="00C02E43" w:rsidP="0010095E">
            <w:pPr>
              <w:pStyle w:val="EPName"/>
            </w:pPr>
            <w:r w:rsidRPr="00AE5DF4">
              <w:t>Európsky parlament</w:t>
            </w:r>
          </w:p>
          <w:p w14:paraId="59467610" w14:textId="77777777" w:rsidR="00751A4A" w:rsidRPr="00AE5D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5DF4">
              <w:t>2024</w:t>
            </w:r>
            <w:r w:rsidR="00817416" w:rsidRPr="00AE5DF4">
              <w:t>-202</w:t>
            </w:r>
            <w:r w:rsidRPr="00AE5DF4">
              <w:t>9</w:t>
            </w:r>
          </w:p>
        </w:tc>
        <w:tc>
          <w:tcPr>
            <w:tcW w:w="2268" w:type="dxa"/>
            <w:shd w:val="clear" w:color="auto" w:fill="auto"/>
          </w:tcPr>
          <w:p w14:paraId="7F2C21D8" w14:textId="77777777" w:rsidR="00751A4A" w:rsidRPr="00AE5DF4" w:rsidRDefault="00187494" w:rsidP="0010095E">
            <w:pPr>
              <w:pStyle w:val="EPLogo"/>
            </w:pPr>
            <w:r w:rsidRPr="00AE5DF4">
              <w:rPr>
                <w:noProof/>
                <w:lang w:eastAsia="ja-JP"/>
              </w:rPr>
              <w:drawing>
                <wp:inline distT="0" distB="0" distL="0" distR="0" wp14:anchorId="69D6AEA0" wp14:editId="6BF6282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5C4A06" w14:textId="77777777" w:rsidR="00D058B8" w:rsidRPr="00AE5DF4" w:rsidRDefault="00D058B8" w:rsidP="004C5D52">
      <w:pPr>
        <w:pStyle w:val="LineTop"/>
      </w:pPr>
    </w:p>
    <w:p w14:paraId="469092F5" w14:textId="77777777" w:rsidR="00680577" w:rsidRPr="00AE5DF4" w:rsidRDefault="00C02E43" w:rsidP="00680577">
      <w:pPr>
        <w:pStyle w:val="EPBodyTA1"/>
      </w:pPr>
      <w:r w:rsidRPr="00AE5DF4">
        <w:t>PRIJATÉ TEXTY</w:t>
      </w:r>
    </w:p>
    <w:p w14:paraId="3362A57C" w14:textId="77777777" w:rsidR="00D058B8" w:rsidRPr="00AE5DF4" w:rsidRDefault="00D058B8" w:rsidP="00D058B8">
      <w:pPr>
        <w:pStyle w:val="LineBottom"/>
      </w:pPr>
    </w:p>
    <w:p w14:paraId="510B90B7" w14:textId="0E5DD129" w:rsidR="00C02E43" w:rsidRPr="00AE5DF4" w:rsidRDefault="00C02E43" w:rsidP="00C02E43">
      <w:pPr>
        <w:pStyle w:val="ATHeading1"/>
      </w:pPr>
      <w:bookmarkStart w:id="0" w:name="TANumber"/>
      <w:r w:rsidRPr="00AE5DF4">
        <w:t>P10_TA(2026)00</w:t>
      </w:r>
      <w:bookmarkEnd w:id="0"/>
      <w:r w:rsidR="00DA5A03">
        <w:t>24</w:t>
      </w:r>
    </w:p>
    <w:p w14:paraId="4D450601" w14:textId="77777777" w:rsidR="00C02E43" w:rsidRPr="00AE5DF4" w:rsidRDefault="00C02E43" w:rsidP="00C02E43">
      <w:pPr>
        <w:pStyle w:val="ATHeading2"/>
      </w:pPr>
      <w:bookmarkStart w:id="1" w:name="title"/>
      <w:r w:rsidRPr="00AE5DF4">
        <w:t>Pokus o prevzatie litovského verejnoprávneho vysielateľa a ohrozenie demokracie v Litve</w:t>
      </w:r>
      <w:bookmarkEnd w:id="1"/>
    </w:p>
    <w:p w14:paraId="52E66843" w14:textId="77777777" w:rsidR="00C02E43" w:rsidRPr="00AE5DF4" w:rsidRDefault="00C02E43" w:rsidP="00C02E43">
      <w:pPr>
        <w:rPr>
          <w:i/>
          <w:vanish/>
        </w:rPr>
      </w:pPr>
      <w:r w:rsidRPr="00AE5DF4">
        <w:rPr>
          <w:i/>
        </w:rPr>
        <w:fldChar w:fldCharType="begin"/>
      </w:r>
      <w:r w:rsidRPr="00AE5DF4">
        <w:rPr>
          <w:i/>
        </w:rPr>
        <w:instrText xml:space="preserve"> TC"(</w:instrText>
      </w:r>
      <w:bookmarkStart w:id="2" w:name="DocNumber"/>
      <w:r w:rsidRPr="00AE5DF4">
        <w:rPr>
          <w:i/>
        </w:rPr>
        <w:instrText>B10-0070, 0073, 0074, 0075 a 0078/2026</w:instrText>
      </w:r>
      <w:bookmarkEnd w:id="2"/>
      <w:r w:rsidRPr="00AE5DF4">
        <w:rPr>
          <w:i/>
        </w:rPr>
        <w:instrText xml:space="preserve">)"\l3 \n&gt; \* MERGEFORMAT </w:instrText>
      </w:r>
      <w:r w:rsidRPr="00AE5DF4">
        <w:rPr>
          <w:i/>
        </w:rPr>
        <w:fldChar w:fldCharType="end"/>
      </w:r>
    </w:p>
    <w:p w14:paraId="6B9C1CF4" w14:textId="77777777" w:rsidR="00C02E43" w:rsidRPr="00AE5DF4" w:rsidRDefault="00C02E43" w:rsidP="00C02E43">
      <w:pPr>
        <w:rPr>
          <w:vanish/>
        </w:rPr>
      </w:pPr>
      <w:bookmarkStart w:id="3" w:name="PE"/>
      <w:r w:rsidRPr="00AE5DF4">
        <w:rPr>
          <w:vanish/>
        </w:rPr>
        <w:t>PE782.026</w:t>
      </w:r>
      <w:bookmarkEnd w:id="3"/>
    </w:p>
    <w:p w14:paraId="64F6CF27" w14:textId="29DD4665" w:rsidR="00C02E43" w:rsidRPr="00AE5DF4" w:rsidRDefault="00C02E43" w:rsidP="00C02E43">
      <w:pPr>
        <w:pStyle w:val="ATHeading3"/>
      </w:pPr>
      <w:bookmarkStart w:id="4" w:name="Sujet"/>
      <w:r w:rsidRPr="00AE5DF4">
        <w:t>Uznesenie Európskeho parlamentu z</w:t>
      </w:r>
      <w:r w:rsidR="00AE5DF4" w:rsidRPr="00AE5DF4">
        <w:t> </w:t>
      </w:r>
      <w:r w:rsidR="00407F72" w:rsidRPr="00AE5DF4">
        <w:t>2</w:t>
      </w:r>
      <w:r w:rsidR="00AE5DF4" w:rsidRPr="00AE5DF4">
        <w:t>2</w:t>
      </w:r>
      <w:r w:rsidR="00407F72" w:rsidRPr="00AE5DF4">
        <w:t>. januára</w:t>
      </w:r>
      <w:r w:rsidRPr="00AE5DF4">
        <w:t xml:space="preserve"> 2026 o pokuse o prevzatie litovského verejnoprávneho vysielateľa a ohrození demokracie v Litve</w:t>
      </w:r>
      <w:bookmarkEnd w:id="4"/>
      <w:r w:rsidRPr="00AE5DF4">
        <w:t xml:space="preserve"> </w:t>
      </w:r>
      <w:bookmarkStart w:id="5" w:name="References"/>
      <w:r w:rsidRPr="00AE5DF4">
        <w:t>(2026/2568(RSP))</w:t>
      </w:r>
      <w:bookmarkEnd w:id="5"/>
    </w:p>
    <w:p w14:paraId="2541B565" w14:textId="77777777" w:rsidR="0018070F" w:rsidRPr="00AE5DF4" w:rsidRDefault="0018070F" w:rsidP="0018070F">
      <w:pPr>
        <w:pStyle w:val="EPComma"/>
      </w:pPr>
      <w:bookmarkStart w:id="6" w:name="TextBodyBegin"/>
      <w:bookmarkEnd w:id="6"/>
      <w:r w:rsidRPr="00AE5DF4">
        <w:rPr>
          <w:i/>
        </w:rPr>
        <w:t>Európsky parlament</w:t>
      </w:r>
      <w:r w:rsidRPr="00AE5DF4">
        <w:t>,</w:t>
      </w:r>
    </w:p>
    <w:p w14:paraId="64D8A45A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články 2 a 7 Zmluvy o Európskej únii (ďalej len „Zmluva o EÚ“),</w:t>
      </w:r>
    </w:p>
    <w:p w14:paraId="66260788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Zmluvu o fungovaní Európskej únie, najmä na jej články 114 a 258,</w:t>
      </w:r>
    </w:p>
    <w:p w14:paraId="5BFBC964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Chartu základných práv Európskej únie, najmä na jej článok 11,</w:t>
      </w:r>
    </w:p>
    <w:p w14:paraId="6569EB20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nariadenie Európskeho parlamentu a Rady (EÚ) 2024/1083 z 11. apríla 2024, ktorým sa stanovuje spoločný rámec pre mediálne služby na vnútornom trhu a mení smernica 2010/13/EÚ</w:t>
      </w:r>
      <w:r w:rsidRPr="00AE5DF4">
        <w:rPr>
          <w:rStyle w:val="FootnoteReference"/>
        </w:rPr>
        <w:footnoteReference w:id="1"/>
      </w:r>
      <w:r w:rsidRPr="00AE5DF4">
        <w:t xml:space="preserve"> (Európsky akt o slobode médií), najmä na jeho články 5 a 21,</w:t>
      </w:r>
    </w:p>
    <w:p w14:paraId="2B6E16C0" w14:textId="6167F855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judikatúru Súdneho dvora Európskej únie a Európskeho súdu pre ľudské práva týkajúcu sa slobody médií,</w:t>
      </w:r>
    </w:p>
    <w:p w14:paraId="396B7B59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Protokol (č. 29) o systéme verejnoprávneho vysielania v členských štátoch</w:t>
      </w:r>
      <w:r w:rsidRPr="00AE5DF4">
        <w:rPr>
          <w:rStyle w:val="FootnoteReference"/>
        </w:rPr>
        <w:footnoteReference w:id="2"/>
      </w:r>
      <w:r w:rsidRPr="00AE5DF4">
        <w:t>,</w:t>
      </w:r>
    </w:p>
    <w:p w14:paraId="6B67D6A0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judikatúru Ústavného súdu Litovskej republiky týkajúcu sa ústavného postavenia a nezávislosti štátneho verejnoprávneho vysielateľa, najmä na jeho rozsudky z 21. decembra 2006, 16. mája 2019 a 3. novembra 2020,</w:t>
      </w:r>
    </w:p>
    <w:p w14:paraId="09A1BB67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aktualizovaný zoznam kritérií právneho štátu Európskej komisie pre demokraciu prostredníctvom práva (Benátskej komisie) a súbor nástrojov Európskej únie v oblasti právneho štátu,</w:t>
      </w:r>
    </w:p>
    <w:p w14:paraId="1C9F1AE3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 xml:space="preserve">so zreteľom na nedávny legislatívny vývoj v Litve, ktorý má vplyv na model </w:t>
      </w:r>
      <w:r w:rsidRPr="00AE5DF4">
        <w:lastRenderedPageBreak/>
        <w:t>financovania štátneho verejnoprávneho vysielateľa a ktorého cieľom je zjednodušiť postupy odvolávania jeho generálneho riaditeľa,</w:t>
      </w:r>
    </w:p>
    <w:p w14:paraId="1ED74059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výročné správy Komisie o právnom štáte, najmä na jej správu o právnom štáte 2025, konkrétne na kapitolu o situácii v oblasti právneho štátu v Litve (SWD(2025)0915),</w:t>
      </w:r>
    </w:p>
    <w:p w14:paraId="42CC4D8E" w14:textId="77777777" w:rsidR="0018070F" w:rsidRPr="00AE5DF4" w:rsidRDefault="0018070F" w:rsidP="0018070F">
      <w:pPr>
        <w:pStyle w:val="NormalHanging12a"/>
      </w:pPr>
      <w:r w:rsidRPr="00AE5DF4">
        <w:t>–</w:t>
      </w:r>
      <w:r w:rsidRPr="00AE5DF4">
        <w:tab/>
        <w:t>so zreteľom na článok 136 ods. 2 a ods. 4 rokovacieho poriadku,</w:t>
      </w:r>
    </w:p>
    <w:p w14:paraId="32C81568" w14:textId="77777777" w:rsidR="0018070F" w:rsidRPr="00AE5DF4" w:rsidRDefault="0018070F" w:rsidP="0018070F">
      <w:pPr>
        <w:pStyle w:val="NormalHanging12a"/>
      </w:pPr>
      <w:r w:rsidRPr="00AE5DF4">
        <w:t>A.</w:t>
      </w:r>
      <w:r w:rsidRPr="00AE5DF4">
        <w:tab/>
        <w:t>keďže slobodné, nezávislé a pluralitné médiá predstavujú jeden zo základných pilierov demokracie, právneho štátu a ochrany základných práv v EÚ; keďže oslabenie štátnych verejnoprávnych vysielateľov podkopáva normy slobody médií v čase, keď sa rozmáhajú dezinformácie, zahraničné zasahovanie a politická polarizácia;</w:t>
      </w:r>
    </w:p>
    <w:p w14:paraId="40EA01EF" w14:textId="77777777" w:rsidR="0018070F" w:rsidRPr="00AE5DF4" w:rsidRDefault="0018070F" w:rsidP="0018070F">
      <w:pPr>
        <w:pStyle w:val="NormalHanging12a"/>
      </w:pPr>
      <w:r w:rsidRPr="00AE5DF4">
        <w:t>B.</w:t>
      </w:r>
      <w:r w:rsidRPr="00AE5DF4">
        <w:tab/>
        <w:t>keďže poskytovatelia verejnoprávnych médií zohrávajú kľúčovú úlohu pri zabezpečovaní prístupu k nestranným informáciám, ochrane pluralizmu, kontrole osôb, ktoré sú pri moci, a pri vyvodzovaní zodpovednosti voči verejným orgánom, v boji proti dezinformáciám a pri umožňovaní informovanej demokratickej účasti; keďže tieto funkcie možno účinne plniť len vtedy, ak je plne zaručená inštitucionálna a redakčná nezávislosť verejnoprávneho vysielateľa;</w:t>
      </w:r>
    </w:p>
    <w:p w14:paraId="6C590EC7" w14:textId="77777777" w:rsidR="0018070F" w:rsidRPr="00AE5DF4" w:rsidRDefault="0018070F" w:rsidP="0018070F">
      <w:pPr>
        <w:pStyle w:val="NormalHanging12a"/>
      </w:pPr>
      <w:r w:rsidRPr="00AE5DF4">
        <w:t>C.</w:t>
      </w:r>
      <w:r w:rsidRPr="00AE5DF4">
        <w:tab/>
        <w:t>keďže reformy ovplyvňujúce poskytovateľov verejnoprávnych médií by sa mali vykonávať transparentným a inkluzívnym spôsobom po konzultácii s príslušnými zainteresovanými stranami vrátane novinárov, občianskej spoločnosti a mediálnych expertov a v súlade s právom EÚ;</w:t>
      </w:r>
    </w:p>
    <w:p w14:paraId="2F98EA25" w14:textId="77777777" w:rsidR="0018070F" w:rsidRPr="00AE5DF4" w:rsidRDefault="0018070F" w:rsidP="0018070F">
      <w:pPr>
        <w:pStyle w:val="NormalHanging12a"/>
      </w:pPr>
      <w:r w:rsidRPr="00AE5DF4">
        <w:t>D.</w:t>
      </w:r>
      <w:r w:rsidRPr="00AE5DF4">
        <w:tab/>
        <w:t>keďže poskytovatelia verejnoprávnych médií zohrávajú na vnútornom trhu mediálnych služieb osobitnú úlohu tým, že zabezpečujú občanom a podnikom prístup k rôznorodej ponuke obsahu vrátane kvalitných informácií a nestranného a vyváženého mediálneho pokrytia, a preto majú zásadný význam pre presadzovanie základného práva na slobodu prejavu a informácie, keďže umožňujú ľuďom vyhľadávať a prijímať rôznorodé informácie a podporujú hodnoty demokracie, kultúrnej rozmanitosti a sociálnej súdržnosti;</w:t>
      </w:r>
    </w:p>
    <w:p w14:paraId="185B5F0B" w14:textId="77777777" w:rsidR="0018070F" w:rsidRPr="00AE5DF4" w:rsidRDefault="0018070F" w:rsidP="0018070F">
      <w:pPr>
        <w:pStyle w:val="NormalHanging12a"/>
      </w:pPr>
      <w:r w:rsidRPr="00AE5DF4">
        <w:t>E.</w:t>
      </w:r>
      <w:r w:rsidRPr="00AE5DF4">
        <w:tab/>
        <w:t xml:space="preserve">keďže nezávislé fungovanie poskytovateľov verejnoprávnych médií si vyžaduje pevné vnútroštátne právne záruky na ochranu ich redakčnej a inštitucionálnej nezávislosti a na zabezpečenie nestranného poskytovania plurality informácií a názorov; keďže podľa článku 3 európskeho aktu o slobode médií musia členské štáty rešpektovať právo občanov na prístup k pluralite redakčne nezávislého mediálneho obsahu v prospech slobodnej a demokratickej diskusie; keďže článkom 5 európskeho aktu o slobode médií sa vykonávajú tieto zásady stanovením záväzných záruk týkajúcich sa transparentných a objektívnych postupov menovania a odvolávania najvyššieho riadiaceho pracovníka alebo členov správnej rady poskytovateľov verejnoprávnych médií vrátane ustanovení, ktoré zabezpečujú, aby každé predčasné odvolanie bolo výnimočné, riadne odôvodnené, vopred oznámené a bolo ho možné súdne preskúmať; keďže v článku 5 ods. 3 európskeho aktu o slobode médií sa členským štátom ukladá povinnosť zabezpečiť, aby sa „ postupy financovania poskytovateľov verejnoprávnych médií zakladali na vopred stanovených transparentných a objektívnych kritériách“, pričom sa poskytnú primerané, udržateľné a predvídateľné finančné zdroje v súlade s ich verejnoprávnym poslaním a zabezpečí sa ich redakčná nezávislosť; keďže podľa článku 21 európskeho aktu o slobode médií musia byť všetky legislatívne, regulačné alebo správne opatrenia prijaté </w:t>
      </w:r>
      <w:r w:rsidRPr="00AE5DF4">
        <w:lastRenderedPageBreak/>
        <w:t>členským štátom, ktoré môžu ovplyvniť pluralitu médií alebo redakčnú nezávislosť, riadne odôvodnené a primerané;</w:t>
      </w:r>
    </w:p>
    <w:p w14:paraId="0459D50F" w14:textId="77777777" w:rsidR="0018070F" w:rsidRPr="00AE5DF4" w:rsidRDefault="0018070F" w:rsidP="0018070F">
      <w:pPr>
        <w:pStyle w:val="NormalHanging12a"/>
      </w:pPr>
      <w:r w:rsidRPr="00AE5DF4">
        <w:t>F.</w:t>
      </w:r>
      <w:r w:rsidRPr="00AE5DF4">
        <w:tab/>
        <w:t>keďže predsedníčka Komisie vo svojej správe o stave Únie v roku 2025 zdôraznila, že úpadkom tradičných a nezávislých médií v niektorých častiach EÚ vznikli tzv. spravodajské púšte, v ktorých sa darí dezinformáciám, čo predstavuje vážne riziko pre demokraciu; keďže zdôraznila, že nezávislé médiá majú zásadný význam pre vyvodzovanie zodpovednosti voči osobám, ktoré sú pri moci, a pre predchádzanie korupcii, a že ich ovládnutie je často prvým krokom v autoritárskych príručkách a umožňuje úpadok demokracie a korupciu bez verejnej kontroly;</w:t>
      </w:r>
    </w:p>
    <w:p w14:paraId="054F4C70" w14:textId="77777777" w:rsidR="0018070F" w:rsidRPr="00AE5DF4" w:rsidRDefault="0018070F" w:rsidP="0018070F">
      <w:pPr>
        <w:pStyle w:val="NormalHanging12a"/>
      </w:pPr>
      <w:r w:rsidRPr="00AE5DF4">
        <w:t>G.</w:t>
      </w:r>
      <w:r w:rsidRPr="00AE5DF4">
        <w:tab/>
        <w:t>keďže skúsenosti z viacerých členských štátov a z celého sveta ukazujú, že pokusy o ovládnutie verejnoprávnych médií môžu byť prvým krokom k širšiemu úpadku demokracie;</w:t>
      </w:r>
    </w:p>
    <w:p w14:paraId="4E3409B4" w14:textId="77777777" w:rsidR="0018070F" w:rsidRPr="00AE5DF4" w:rsidRDefault="0018070F" w:rsidP="0018070F">
      <w:pPr>
        <w:pStyle w:val="NormalHanging12a"/>
      </w:pPr>
      <w:r w:rsidRPr="00AE5DF4">
        <w:t>H.</w:t>
      </w:r>
      <w:r w:rsidRPr="00AE5DF4">
        <w:tab/>
        <w:t>keďže podľa Ústavy Litovskej republiky je štátny verejnoprávny vysielateľ poverený osobitným verejnoprávnym poslaním, ktorým je zabezpečiť riadne informovanie spoločnosti na vnútroštátnej úrovni spôsobom, ktorý podporuje ústavné a spoločné ľudské hodnoty; keďže podľa Ústavy Litovskej republiky musí byť činnosť štátneho verejnoprávneho vysielateľa pri plnení tohto ústavou zvereného poslania založená na zásadách pluralitnej demokracie, objektivity, nestrannosti a rešpektovania ľudskej dôstojnosti a základných práv vrátane slobody presvedčenia a jeho vyjadrovania;</w:t>
      </w:r>
    </w:p>
    <w:p w14:paraId="3D650DE4" w14:textId="77777777" w:rsidR="0018070F" w:rsidRPr="00AE5DF4" w:rsidRDefault="0018070F" w:rsidP="0018070F">
      <w:pPr>
        <w:pStyle w:val="NormalHanging12a"/>
      </w:pPr>
      <w:r w:rsidRPr="00AE5DF4">
        <w:t>I.</w:t>
      </w:r>
      <w:r w:rsidRPr="00AE5DF4">
        <w:tab/>
        <w:t>keďže Ústavný súd Litovskej republiky rozhodol, že z ústavného poslania štátneho verejnoprávneho vysielateľa vyplýva jeho nezávislosť a že každý model kontroly musí byť zlučiteľný s nezávislosťou vysielateľa a nesmie predstavovať cenzúru ani politické zasahovanie;</w:t>
      </w:r>
    </w:p>
    <w:p w14:paraId="68D2B2F3" w14:textId="4E4D997D" w:rsidR="0018070F" w:rsidRPr="00AE5DF4" w:rsidRDefault="0018070F" w:rsidP="0018070F">
      <w:pPr>
        <w:pStyle w:val="NormalHanging12a"/>
      </w:pPr>
      <w:r w:rsidRPr="00AE5DF4">
        <w:t>J.</w:t>
      </w:r>
      <w:r w:rsidRPr="00AE5DF4">
        <w:tab/>
        <w:t>keďže po parlamentných voľbách v Litve v roku 2024 vznikla vládna koalícia, ktorej súčasťou je krajne pravicová populistická strana Úsvit Nemanu; keďže Ústavný súd Litovskej republiky 25. apríla 2024 konštatoval, že predseda tejto strany sa dopustil hrubého porušenia ústavy a porušenia ústavného sľubu svojimi antisemitskými a nenávisť podnecujúcimi výrokmi; keďže tieto zistenia následne potvrdil súd prvého stupňa; keďže vládna koalícia ani strana Úsvit Nemanu sa od týchto činov nedištancovali; keďže líder strany Úsvit Nemanu naďalej zohráva významnú úlohu v rámci vládnej väčšiny a aktívne podporuje kampaň zameranú na Litovský štátny rozhlas a televíziu (</w:t>
      </w:r>
      <w:r w:rsidR="00BC21A2" w:rsidRPr="00AE5DF4">
        <w:t>ďalej len „</w:t>
      </w:r>
      <w:r w:rsidRPr="00AE5DF4">
        <w:t>LRT</w:t>
      </w:r>
      <w:r w:rsidR="00BC21A2" w:rsidRPr="00AE5DF4">
        <w:t>“</w:t>
      </w:r>
      <w:r w:rsidRPr="00AE5DF4">
        <w:t>);</w:t>
      </w:r>
    </w:p>
    <w:p w14:paraId="76280D49" w14:textId="77777777" w:rsidR="0018070F" w:rsidRPr="00AE5DF4" w:rsidRDefault="0018070F" w:rsidP="0018070F">
      <w:pPr>
        <w:pStyle w:val="NormalHanging12a"/>
      </w:pPr>
      <w:r w:rsidRPr="00AE5DF4">
        <w:t>K.</w:t>
      </w:r>
      <w:r w:rsidRPr="00AE5DF4">
        <w:tab/>
        <w:t>keďže litovský predseda vlády z tejto vládnej koalície musel v júli 2025 odstúpiť po zisteniach investigatívnych novinárov vrátane reportáže LRT, ktorá vzbudila vážne obavy v súvislosti s jeho údajným zapojím do korupčných praktík; keďže neskôr v roku 2025 vyvolali legislatívne iniciatívy ovplyvňujúce financovanie a riadenie LRT obavy na domácej a medzinárodnej scéne týkajúce sa slobody médií a inštitucionálnej nezávislosti;</w:t>
      </w:r>
    </w:p>
    <w:p w14:paraId="799290C4" w14:textId="77777777" w:rsidR="0018070F" w:rsidRPr="00AE5DF4" w:rsidRDefault="0018070F" w:rsidP="0018070F">
      <w:pPr>
        <w:pStyle w:val="NormalHanging12a"/>
      </w:pPr>
      <w:r w:rsidRPr="00AE5DF4">
        <w:t>L.</w:t>
      </w:r>
      <w:r w:rsidRPr="00AE5DF4">
        <w:tab/>
        <w:t xml:space="preserve">keďže na podnet poslancov vládnucej parlamentnej väčšiny bol Štátny kontrolný úrad Litovskej republiky poverený, aby vykonal komplexný audit výkonnosti LRT a posúdil jej činnosť v rokoch 2021 – 2024 z hľadiska hospodárnosti, efektívnosti a účinnosti; keďže Národný kontrolný úrad vo svojich záveroch konštatoval, že prevažná väčšina strategických a prevádzkových ukazovateľov výkonnosti LRT dosiahla úroveň minimálne 90 % a že plánovanie a využívanie finančných zdrojov LRT bolo </w:t>
      </w:r>
      <w:r w:rsidRPr="00AE5DF4">
        <w:lastRenderedPageBreak/>
        <w:t>odôvodnené a transparentné, pričom bolo potrebné riešiť niektoré aspekty, ako je verejné obstarávanie a postupy prijímania zamestnancov; keďže odporúčania z auditu sa zameriavali na ďalšie zlepšenie vnútorných procesov a neodporúčali sa v nich žiadne zmeny modelu financovania, štruktúry riadenia ani vedenia LRT, ani sa nepožadoval žiadny politický ani inštitucionálny zásah; keďže po týchto zisteniach Národného kontrolného úradu nasledovali ďalšie kroky vrátane prekrývajúcich sa kontrol, žiadostí adresovaných iným štátnym orgánom o preverenie činnosti LRT a opakovaných verejných útokov na vedenie LRT; keďže niektoré mediálne a novinárske organizácie varovali, že zistenia auditu boli verejne skreslené a selektívne použité v politickej diskusii; keďže ani odporúčania z auditu, ani žiadne iné argumenty nemôžu odôvodniť legislatívne opatrenia, ktoré sú v rozpore s litovskou ústavou a Európskym aktom o slobode médií;</w:t>
      </w:r>
    </w:p>
    <w:p w14:paraId="06C8BB19" w14:textId="77777777" w:rsidR="0018070F" w:rsidRPr="00AE5DF4" w:rsidRDefault="0018070F" w:rsidP="0018070F">
      <w:pPr>
        <w:pStyle w:val="NormalHanging12a"/>
      </w:pPr>
      <w:r w:rsidRPr="00AE5DF4">
        <w:t>M.</w:t>
      </w:r>
      <w:r w:rsidRPr="00AE5DF4">
        <w:tab/>
        <w:t xml:space="preserve">keďže 27. novembra 2025 litovský parlament Seimas prijal zmeny zákona o LRT, ktorými sa rozpočet LRT na roky 2026 až 2028 zmrazil na úrovni z roku 2025, ktorá predstavuje 79,6 milióna EUR, a znížil sa jej budúci podiel na daňových príjmoch, čo vedie k štrukturálnemu a dlhodobému zníženiu verejného financovania; keďže tieto zmeny boli predložené krátko pred prijatím a boli schválené tesne pred začatím nového rozpočtového roka a bez náležitej diskusie, čo vyvoláva vážne obavy zainteresovaných strán z oblasti médií, pokiaľ ide o právnu istotu, oprávnené očakávania a dodržiavanie zásady </w:t>
      </w:r>
      <w:r w:rsidRPr="00AE5DF4">
        <w:rPr>
          <w:i/>
          <w:iCs/>
        </w:rPr>
        <w:t>vacatio legis</w:t>
      </w:r>
      <w:r w:rsidRPr="00AE5DF4">
        <w:t>, ktorá je neoddeliteľnou súčasťou právneho štátu;</w:t>
      </w:r>
    </w:p>
    <w:p w14:paraId="5DBE665A" w14:textId="77777777" w:rsidR="0018070F" w:rsidRPr="00AE5DF4" w:rsidRDefault="0018070F" w:rsidP="0018070F">
      <w:pPr>
        <w:pStyle w:val="NormalHanging12a"/>
      </w:pPr>
      <w:r w:rsidRPr="00AE5DF4">
        <w:t>N.</w:t>
      </w:r>
      <w:r w:rsidRPr="00AE5DF4">
        <w:tab/>
        <w:t>keďže následne boli predložené návrhy zákonov, ktorými sa oslabujú záruky týkajúce sa predčasného odvolania generálneho riaditeľa LRT Radou LRT, ktorej dve tretiny (8 z 12 členov) vymenúvajú politické orgány, konkrétne prezident a litovský parlament, pričom každý z nich vymenúva štyroch členov; keďže v týchto návrhoch zákonov sa navrhuje nahradiť kvalifikovanú väčšinu potrebnú na odvolanie generálneho riaditeľa jednoduchou väčšinou, zrušiť požiadavku odôvodnenia verejným záujmom a zaviesť tajné hlasovanie v Rade LRT;</w:t>
      </w:r>
    </w:p>
    <w:p w14:paraId="6C697458" w14:textId="21ADE849" w:rsidR="0018070F" w:rsidRPr="00AE5DF4" w:rsidRDefault="0018070F" w:rsidP="0018070F">
      <w:pPr>
        <w:pStyle w:val="NormalHanging12a"/>
      </w:pPr>
      <w:r w:rsidRPr="00AE5DF4">
        <w:t>O.</w:t>
      </w:r>
      <w:r w:rsidRPr="00AE5DF4">
        <w:tab/>
        <w:t>keďže tieto legislatívne iniciatívy boli zavedené a presadzované v rámci zrýchlených postupov bez objektívne odôvodnených výnimočných okolností, čím sa oslabila transparentnosť, inkluzívnosť a zmysluplná účasť zainteresovaných strán a občianskej spoločnosti a nedodržali sa únijné a ústavné normy zodpovednej správy vecí verejných; keďže Rada Európy, Európska vysielacia únia, medzinárodné novinárske organizácie, oddelenie legislatívy litovského parlamentu, Litovská národná komisia UNESCO a predstaviteľ Organizácie pre bezpečnosť a spoluprácu v Európe (</w:t>
      </w:r>
      <w:r w:rsidR="00BC21A2" w:rsidRPr="00AE5DF4">
        <w:t>ďalej len „</w:t>
      </w:r>
      <w:r w:rsidRPr="00AE5DF4">
        <w:t>OBSE</w:t>
      </w:r>
      <w:r w:rsidR="00BC21A2" w:rsidRPr="00AE5DF4">
        <w:t>“</w:t>
      </w:r>
      <w:r w:rsidRPr="00AE5DF4">
        <w:t>) pre slobodu médií varovali, že tieto opatrenia výrazne zvyšujú zraniteľnosť LRT voči politickému tlaku; keďže Špeciálna vyšetrovacia služba Litovskej republiky – národný protikorupčný orgán – vo svojom posúdení navrhovaných legislatívnych zmien identifikovala riziká súvisiace s korupciou a dospela k záveru, že zavedenie tajného hlasovania o odvolaní generálneho riaditeľa LRT je pravdepodobne nezlučiteľné so zásadami transparentnosti, otvorenosti a verejnej zodpovednosti, ktoré sú oporou demokratickej správy vecí verejných a právneho štátu;</w:t>
      </w:r>
    </w:p>
    <w:p w14:paraId="24A13228" w14:textId="77777777" w:rsidR="0018070F" w:rsidRPr="00AE5DF4" w:rsidRDefault="0018070F" w:rsidP="0018070F">
      <w:pPr>
        <w:pStyle w:val="NormalHanging12a"/>
      </w:pPr>
      <w:r w:rsidRPr="00AE5DF4">
        <w:t>P.</w:t>
      </w:r>
      <w:r w:rsidRPr="00AE5DF4">
        <w:tab/>
        <w:t xml:space="preserve">keďže sa zdá, že navrhované zmeny sú zamerané na súčasnú generálnu riaditeľku LRT, o čom svedčia verejné vyhlásenia účastníkov legislatívneho procesu, ktorí vyjadrili nespokojnosť s jej činnosťou a výslovne naznačili zámer umožniť jej odvolanie z funkcie; keďže právne predpisy zamerané na konkrétnu osobu (právne predpisy </w:t>
      </w:r>
      <w:r w:rsidRPr="00AE5DF4">
        <w:rPr>
          <w:i/>
          <w:iCs/>
        </w:rPr>
        <w:t>ad personam</w:t>
      </w:r>
      <w:r w:rsidRPr="00AE5DF4">
        <w:t>) sú nezlučiteľné so zásadami právneho štátu vrátane zásady právnej istoty, všeobecnosti právnych predpisov a zákazu svojvoľného výkonu moci;</w:t>
      </w:r>
    </w:p>
    <w:p w14:paraId="570DE872" w14:textId="77777777" w:rsidR="0018070F" w:rsidRPr="00AE5DF4" w:rsidRDefault="0018070F" w:rsidP="0018070F">
      <w:pPr>
        <w:pStyle w:val="NormalHanging12a"/>
      </w:pPr>
      <w:r w:rsidRPr="00AE5DF4">
        <w:lastRenderedPageBreak/>
        <w:t>Q.</w:t>
      </w:r>
      <w:r w:rsidRPr="00AE5DF4">
        <w:tab/>
        <w:t>keďže zamestnanci LRT začali 9. decembra 2025 na protest proti týmto zmenám štrajkovať a varujú, že uvedené zmeny by mohli „zničiť záruky, ktoré chránia nezávislosť LRT“; keďže pokusy o ovládnutie LRT vyvolali vlnu mobilizácie verejnosti, keď 9. decembra 2025 a 16. až 18. decembra 2025 demonštrovali vo Vilniuse desaťtisíce občanov a viac ako 140 000 občanov podpísalo verejnú petíciu proti týmto legislatívnym iniciatívam, čím vyjadrili široké spoločenské obavy o slobodu médií a demokratické normy v Litve;</w:t>
      </w:r>
    </w:p>
    <w:p w14:paraId="4B9B34EE" w14:textId="77777777" w:rsidR="0018070F" w:rsidRPr="00AE5DF4" w:rsidRDefault="0018070F" w:rsidP="0018070F">
      <w:pPr>
        <w:pStyle w:val="NormalHanging12a"/>
      </w:pPr>
      <w:r w:rsidRPr="00AE5DF4">
        <w:t>R.</w:t>
      </w:r>
      <w:r w:rsidRPr="00AE5DF4">
        <w:tab/>
        <w:t>keďže Európsky parlament je povinný prejaviť solidaritu s občianskou spoločnosťou, ktorá bráni demokratické hodnoty vrátane slobody prejavu, médií a zhromažďovania, a konať rozhodne, keď sa v EÚ objavia systémové riziká pre demokraciu, právny štát a slobodu médií;</w:t>
      </w:r>
    </w:p>
    <w:p w14:paraId="1C4A6E4C" w14:textId="77777777" w:rsidR="0018070F" w:rsidRPr="00AE5DF4" w:rsidRDefault="0018070F" w:rsidP="0018070F">
      <w:pPr>
        <w:pStyle w:val="NormalHanging12a"/>
      </w:pPr>
      <w:r w:rsidRPr="00AE5DF4">
        <w:t>S.</w:t>
      </w:r>
      <w:r w:rsidRPr="00AE5DF4">
        <w:tab/>
        <w:t>keďže po pozastavení zrýchlených legislatívnych iniciatív bola zriadená parlamentná pracovná skupina s cieľom preskúmať model riadenia LRT; keďže profesijné združenie novinárov a iniciatívna skupina novinárov LRT sa odmietli zúčastniť, pričom poukazovali na nedostatočný dialóg, selektívne pozvánky a vyhlásenia, v ktorých sa uvádza, že predtým napadnuté pozmeňujúce návrhy sa prehodnotia; keďže tieto organizácie varovali, že tento proces predstavuje riziko legitimizácie politického zasahovania pod zámienkou konzultácií a môže umožniť opätovné pokusy o nepriamu cenzúru a oslabenie záruk redakčnej nezávislosti;</w:t>
      </w:r>
    </w:p>
    <w:p w14:paraId="6E76194C" w14:textId="77777777" w:rsidR="0018070F" w:rsidRPr="00AE5DF4" w:rsidRDefault="0018070F" w:rsidP="0018070F">
      <w:pPr>
        <w:pStyle w:val="NormalHanging12a"/>
      </w:pPr>
      <w:r w:rsidRPr="00AE5DF4">
        <w:t>T.</w:t>
      </w:r>
      <w:r w:rsidRPr="00AE5DF4">
        <w:tab/>
        <w:t>keďže v súvislosti s prebiehajúcimi legislatívnymi iniciatívami, ktoré majú vplyv na riadenie LRT, bola LRT kritizovaná za využívanie vysielacieho času a zdrojov na protestné akcie novinárov na ochranu slobody prejavu vrátane vysielania minút ticha; keďže takéto vyhlásenia môžu prispievať k politickému tlaku a môžu mať odrádzajúci účinok na redakčnú nezávislosť;</w:t>
      </w:r>
    </w:p>
    <w:p w14:paraId="43B56196" w14:textId="77777777" w:rsidR="0018070F" w:rsidRPr="00AE5DF4" w:rsidRDefault="0018070F" w:rsidP="0018070F">
      <w:pPr>
        <w:pStyle w:val="NormalHanging12a"/>
      </w:pPr>
      <w:r w:rsidRPr="00AE5DF4">
        <w:t>U.</w:t>
      </w:r>
      <w:r w:rsidRPr="00AE5DF4">
        <w:tab/>
        <w:t>keďže podľa platformy Rady Európy na podporu ochrany žurnalistiky a bezpečnosti novinárov sú finančné prostriedky prideľované verejnoprávnym médiám na základe HDP v Litve už teraz jedny z najnižších v EÚ a LRT varovala, že dlhodobé finančné obmedzenia jej budú brániť v plnení zákonom stanovenej úlohy hlavného zdroja krízovej a núdzovej komunikácie v krajine, ako aj obmedzovať jej schopnosť zachovať nepretržité vysielanie počas vnútroštátnych núdzových situácií;</w:t>
      </w:r>
    </w:p>
    <w:p w14:paraId="206D7D67" w14:textId="77777777" w:rsidR="0018070F" w:rsidRPr="00AE5DF4" w:rsidRDefault="0018070F" w:rsidP="0018070F">
      <w:pPr>
        <w:pStyle w:val="NormalHanging12a"/>
      </w:pPr>
      <w:r w:rsidRPr="00AE5DF4">
        <w:t>V.</w:t>
      </w:r>
      <w:r w:rsidRPr="00AE5DF4">
        <w:tab/>
        <w:t>keďže Komisia vo svojej správe o právnom štáte za rok 2025 vydala odporúčania pre Litvu, v ktorých vyzvala na pokračujúce úsilie o posilnenie nezávislosti, stabilného financovania a transparentného riadenia verejnoprávnych médií vrátane záruk proti politickému ovplyvňovaniu pri postupoch menovania a odvolávania;</w:t>
      </w:r>
    </w:p>
    <w:p w14:paraId="23709DF4" w14:textId="77777777" w:rsidR="0018070F" w:rsidRPr="00AE5DF4" w:rsidRDefault="0018070F" w:rsidP="0018070F">
      <w:pPr>
        <w:pStyle w:val="NormalHanging12a"/>
      </w:pPr>
      <w:r w:rsidRPr="00AE5DF4">
        <w:t>W.</w:t>
      </w:r>
      <w:r w:rsidRPr="00AE5DF4">
        <w:tab/>
        <w:t>keďže LRT požiadala Benátsku komisiu Rady Európy o vydanie naliehavého stanoviska k prerokúvaným zmenám; keďže Benátska komisia sa rozhodla vypracovať naliehavé stanovisko k príslušným legislatívnym zmenám, pričom zdôraznila závažnosť situácie; keďže Benátska komisia navštívila 19. a 20. januára Litvu, aby posúdila situáciu;</w:t>
      </w:r>
    </w:p>
    <w:p w14:paraId="326862B2" w14:textId="77777777" w:rsidR="0018070F" w:rsidRPr="00AE5DF4" w:rsidRDefault="0018070F" w:rsidP="0018070F">
      <w:pPr>
        <w:pStyle w:val="NormalHanging12a"/>
      </w:pPr>
      <w:r w:rsidRPr="00AE5DF4">
        <w:t>1.</w:t>
      </w:r>
      <w:r w:rsidRPr="00AE5DF4">
        <w:tab/>
        <w:t xml:space="preserve">uznáva a oceňuje zásadnú úlohu verejnoprávnych médií, najmä štátnych poskytovateľov verejnoprávnych médií, pri presadzovaní a podpore hodnôt zakotvených v článku 2 Zmluvy o EÚ a v boji proti dezinformáciám, propagande a iným formám manipulácie s informáciami, čím sa chráni pluralitná a odolná demokracia; zdôrazňuje, že nezávislé a dôveryhodné médiá sú nevyhnutné pre demokratickú zodpovednosť, pretože umožňujú občanom kontrolovať osoby pri moci a odhaľovať korupciu a zneužívanie </w:t>
      </w:r>
      <w:r w:rsidRPr="00AE5DF4">
        <w:lastRenderedPageBreak/>
        <w:t>funkcie; zdôrazňuje, že oslabovanie nezávislých mediálnych ekosystémov výrazne oslabuje demokratickú zodpovednosť, uľahčuje šírenie dezinformácií a korupcie a redukuje schopnosť občanov vyvodzovať zodpovednosť voči tým, ktorí sú pri moci;</w:t>
      </w:r>
    </w:p>
    <w:p w14:paraId="699F2452" w14:textId="77777777" w:rsidR="0018070F" w:rsidRPr="00AE5DF4" w:rsidRDefault="0018070F" w:rsidP="0018070F">
      <w:pPr>
        <w:pStyle w:val="NormalHanging12a"/>
      </w:pPr>
      <w:r w:rsidRPr="00AE5DF4">
        <w:t>2.</w:t>
      </w:r>
      <w:r w:rsidRPr="00AE5DF4">
        <w:tab/>
        <w:t>konštatuje, že pokusy o polarizáciu spoločnosti, oslabenie dôvery v demokratické inštitúcie a podkopanie nezávislých mediálnych ekosystémov slúžia cieľom hybridnej vojny, ktorú vedie Ruská federácia a iné nepriateľské mocnosti proti EÚ a jej členským štátom a ktorá je zameraná na oslabenie demokratickej odolnosti; zdôrazňuje, že silní, nezávislí verejnoprávni vysielatelia sú kľúčovou obrannou líniou proti takémuto nepriateľskému zasahovaniu;</w:t>
      </w:r>
    </w:p>
    <w:p w14:paraId="19415FF1" w14:textId="77777777" w:rsidR="0018070F" w:rsidRPr="00AE5DF4" w:rsidRDefault="0018070F" w:rsidP="0018070F">
      <w:pPr>
        <w:pStyle w:val="NormalHanging12a"/>
      </w:pPr>
      <w:r w:rsidRPr="00AE5DF4">
        <w:t>3.</w:t>
      </w:r>
      <w:r w:rsidRPr="00AE5DF4">
        <w:tab/>
        <w:t>vyzýva Komisiu a členské štáty, aby uznali investigatívnu žurnalistiku za základný prvok demokratickej odolnosti a zabezpečili, aby verejnoprávne médiá boli štrukturálne a finančne schopné podporovať investigatívnu žurnalistiku vrátane dlhodobých vyšetrovaní náročných na zdroje a aby boli novinári chránení pred akoukoľvek formou politického nátlaku, zastrašovania alebo odvety, či už priamou, alebo nepriamou, v reakcii na zákonné vykonávanie ich pracovných povinností;</w:t>
      </w:r>
    </w:p>
    <w:p w14:paraId="7C0A6794" w14:textId="77777777" w:rsidR="0018070F" w:rsidRPr="00AE5DF4" w:rsidRDefault="0018070F" w:rsidP="0018070F">
      <w:pPr>
        <w:pStyle w:val="NormalHanging12a"/>
      </w:pPr>
      <w:r w:rsidRPr="00AE5DF4">
        <w:t>4.</w:t>
      </w:r>
      <w:r w:rsidRPr="00AE5DF4">
        <w:tab/>
        <w:t>vyjadruje plnú solidaritu s litovskými novinármi, LRT a aktérmi občianskej spoločnosti, ktorí bránia slobodu médií vrátane inštitucionálnej a redakčnej nezávislosti LRT;</w:t>
      </w:r>
    </w:p>
    <w:p w14:paraId="3634A076" w14:textId="77777777" w:rsidR="0018070F" w:rsidRPr="00AE5DF4" w:rsidRDefault="0018070F" w:rsidP="0018070F">
      <w:pPr>
        <w:pStyle w:val="NormalHanging12a"/>
      </w:pPr>
      <w:r w:rsidRPr="00AE5DF4">
        <w:t>5.</w:t>
      </w:r>
      <w:r w:rsidRPr="00AE5DF4">
        <w:tab/>
        <w:t>odsudzuje všetky pokusy o oslabenie nezávislosti LRT vrátane legislatívnych a administratívnych opatrení a politického tlaku zameraného na získanie politickej kontroly nad LRT;</w:t>
      </w:r>
    </w:p>
    <w:p w14:paraId="1BFCA6E9" w14:textId="77777777" w:rsidR="0018070F" w:rsidRPr="00AE5DF4" w:rsidRDefault="0018070F" w:rsidP="0018070F">
      <w:pPr>
        <w:pStyle w:val="NormalHanging12a"/>
      </w:pPr>
      <w:r w:rsidRPr="00AE5DF4">
        <w:t>6.</w:t>
      </w:r>
      <w:r w:rsidRPr="00AE5DF4">
        <w:tab/>
        <w:t>domnieva sa, že zmrazenie a zníženie financovania LRT bez objektívnej ekonomickej nevyhnutnosti predstavuje politický nátlak nezlučiteľný s ústavnými zárukami a článkom 5 ods. 3 európskeho aktu o slobode médií;</w:t>
      </w:r>
    </w:p>
    <w:p w14:paraId="469BFC88" w14:textId="77777777" w:rsidR="0018070F" w:rsidRPr="00AE5DF4" w:rsidRDefault="0018070F" w:rsidP="0018070F">
      <w:pPr>
        <w:pStyle w:val="NormalHanging12a"/>
      </w:pPr>
      <w:r w:rsidRPr="00AE5DF4">
        <w:t>7.</w:t>
      </w:r>
      <w:r w:rsidRPr="00AE5DF4">
        <w:tab/>
        <w:t>domnieva sa, že navrhované zmeny, ktorými sa majú oslabiť záruky týkajúce sa predčasného odvolávania generálneho riaditeľa LRT, predstavujú riziko spočívajúce v umožnení svojvoľných politických zásahov a sú nezlučiteľné s ústavnými zárukami a normami EÚ pre nezávislosť verejnoprávnych médií vrátane článku 5 ods. 2 európskeho aktu o slobode médií;</w:t>
      </w:r>
    </w:p>
    <w:p w14:paraId="6933B69C" w14:textId="77777777" w:rsidR="0018070F" w:rsidRPr="00AE5DF4" w:rsidRDefault="0018070F" w:rsidP="0018070F">
      <w:pPr>
        <w:pStyle w:val="NormalHanging12a"/>
      </w:pPr>
      <w:r w:rsidRPr="00AE5DF4">
        <w:t>8.</w:t>
      </w:r>
      <w:r w:rsidRPr="00AE5DF4">
        <w:tab/>
        <w:t xml:space="preserve">dôrazne odsudzuje akúkoľvek formu právnych predpisov </w:t>
      </w:r>
      <w:r w:rsidRPr="00AE5DF4">
        <w:rPr>
          <w:i/>
        </w:rPr>
        <w:t>ad personam</w:t>
      </w:r>
      <w:r w:rsidRPr="00AE5DF4">
        <w:t xml:space="preserve"> a pripomína, že právne predpisy zamerané na konkrétne osoby z dôvodu nezávislého výkonu ich profesionálnej činnosti sú nezlučiteľné so zásadami pluralitnej demokracie a právneho štátu;</w:t>
      </w:r>
    </w:p>
    <w:p w14:paraId="7FF16A44" w14:textId="77777777" w:rsidR="0018070F" w:rsidRPr="00AE5DF4" w:rsidRDefault="0018070F" w:rsidP="0018070F">
      <w:pPr>
        <w:pStyle w:val="NormalHanging12a"/>
      </w:pPr>
      <w:r w:rsidRPr="00AE5DF4">
        <w:t>9.</w:t>
      </w:r>
      <w:r w:rsidRPr="00AE5DF4">
        <w:tab/>
        <w:t>zdôrazňuje, že použitie zrýchlených legislatívnych postupov pri týchto zmenách nemá objektívne a ústavne opodstatnené dôvody, neumožňuje zabezpečenie transparentnosti, inkluzívnosti a zmysluplnej účasti kľúčových zainteresovaných strán a občianskej spoločnosti a nespĺňa požiadavky transparentného, zodpovedného, inkluzívneho a demokratického postupu tvorby právnych predpisov, ktoré sú neoddeliteľnou súčasťou zásady právneho štátu a najlepších európskych postupov pre proces tvorby právnych predpisov;</w:t>
      </w:r>
    </w:p>
    <w:p w14:paraId="6B86AC9C" w14:textId="77777777" w:rsidR="0018070F" w:rsidRPr="00AE5DF4" w:rsidRDefault="0018070F" w:rsidP="0018070F">
      <w:pPr>
        <w:pStyle w:val="NormalHanging12a"/>
      </w:pPr>
      <w:r w:rsidRPr="00AE5DF4">
        <w:t>10.</w:t>
      </w:r>
      <w:r w:rsidRPr="00AE5DF4">
        <w:tab/>
        <w:t xml:space="preserve">naliehavo vyzýva litovský parlament, aby zamietol prerokúvané zmeny vrátane zníženia minimálneho počtu hlasov na odvolanie generálneho riaditeľa LRT, zrušenia požiadavky, aby bolo odvolanie založené na objektívnom zohľadnení verejného záujmu, </w:t>
      </w:r>
      <w:r w:rsidRPr="00AE5DF4">
        <w:lastRenderedPageBreak/>
        <w:t>a zavedenia tajného hlasovania a aby zabezpečil, že všetky legislatívne zmeny, ak sú potrebné, sa prijmú až po tom, ako Benátska komisia vydá svoje stanovisko, a že budú v súlade s európskym aktom o slobode médií a odporúčaniami Benátskej komisie a predstaviteľa OBSE pre slobodu médií;</w:t>
      </w:r>
    </w:p>
    <w:p w14:paraId="2898CAE5" w14:textId="77777777" w:rsidR="0018070F" w:rsidRPr="00AE5DF4" w:rsidRDefault="0018070F" w:rsidP="0018070F">
      <w:pPr>
        <w:pStyle w:val="NormalHanging12a"/>
      </w:pPr>
      <w:r w:rsidRPr="00AE5DF4">
        <w:t>11.</w:t>
      </w:r>
      <w:r w:rsidRPr="00AE5DF4">
        <w:tab/>
        <w:t>vyzýva litovský parlament a litovskú vládu, aby minimalizovali politický vplyv pri zostavovaní Rady LRT, a to aj znížením počtu miest pridelených nominantom politických orgánov a stanovením primeraných odborných požiadaviek na členov rady; ďalej vyzýva litovský parlament a litovskú vládu, aby sa zdržali prijímania a rušenia už prijatých legislatívnych opatrení a rozpočtových rámcov, ktoré oslabujú nezávislosť LRT, najmä tých, ktoré porušujú článok 5 Európskeho aktu o slobode médií, pokiaľ ide o ochranu riadenia verejnoprávnych médií pred politickým odvolávaním a zabezpečenie stabilného financovania verejnoprávneho vysielateľa, a aby zabezpečili jej stabilné, predvídateľné a primerané financovanie v súlade s požiadavkami európskeho aktu o slobode médií;</w:t>
      </w:r>
    </w:p>
    <w:p w14:paraId="08AC6E2A" w14:textId="77777777" w:rsidR="0018070F" w:rsidRPr="00AE5DF4" w:rsidRDefault="0018070F" w:rsidP="0018070F">
      <w:pPr>
        <w:pStyle w:val="NormalHanging12a"/>
      </w:pPr>
      <w:r w:rsidRPr="00AE5DF4">
        <w:t>12.</w:t>
      </w:r>
      <w:r w:rsidRPr="00AE5DF4">
        <w:tab/>
        <w:t>žiada Komisiu, aby monitorovala akýkoľvek vývoj týkajúci sa slobody médií a nezávislosti verejnoprávnych médií v Litve, posúdila súlad prijatých a prerokúvaných zmien s európskym aktom o slobode médií a so zásadou právneho štátu, zodpovedajúcim spôsobom informovala litovské orgány a v prípade nesúladu využila všetky nástroje vrátane postupov v prípade nesplnenia povinnosti a súboru nástrojov EÚ na podporu právneho štátu;</w:t>
      </w:r>
    </w:p>
    <w:p w14:paraId="5A0AF2DC" w14:textId="77777777" w:rsidR="0018070F" w:rsidRPr="00AE5DF4" w:rsidRDefault="0018070F" w:rsidP="0018070F">
      <w:pPr>
        <w:pStyle w:val="NormalHanging12a"/>
      </w:pPr>
      <w:r w:rsidRPr="00AE5DF4">
        <w:t>13.</w:t>
      </w:r>
      <w:r w:rsidRPr="00AE5DF4">
        <w:tab/>
        <w:t>vyzýva litovské orgány, aby zintenzívnili rozsiahle a transparentné konzultácie s občianskou spoločnosťou, odborníkmi v oblasti médií a európskymi inštitúciami o riadení a financovaní verejnoprávnych médií; vyzýva politické strany, aby dôkladne zvážili navrhované zmeny zákona o LRT a zabezpečili, aby všetky budúce legislatívne zmeny boli predmetom verejných konzultácií vrátane príspevkov od domácich a zahraničných novinárov, organizácií pre slobodu médií a vedenia LRT;</w:t>
      </w:r>
    </w:p>
    <w:p w14:paraId="7113C533" w14:textId="77777777" w:rsidR="0018070F" w:rsidRPr="00AE5DF4" w:rsidRDefault="0018070F" w:rsidP="0018070F">
      <w:pPr>
        <w:pStyle w:val="NormalHanging12a"/>
      </w:pPr>
      <w:r w:rsidRPr="00AE5DF4">
        <w:t>14.</w:t>
      </w:r>
      <w:r w:rsidRPr="00AE5DF4">
        <w:tab/>
        <w:t>pripomína, že skúsenosti z iných členských štátov a z celého sveta ukazujú, že pokusy o ovládnutie verejnoprávnych médií často predstavujú prvú fázu širšieho úpadku demokracie, čo vedie k narušeniu slobody médií, nezávislosti súdnictva a integrity volieb; s veľkým znepokojením konštatuje, že verejnoprávne médiá a verejnoprávni vysielatelia v celej Európe sú čoraz viac vystavení politickým a ideologickým útokom, očierňujúcim kampaniam, zastrašovaniu a pokusom o oslabenie ich redakčnej nezávislosti a stabilného financovania krajne pravicovými subjektmi, ktoré sa snažia oslabiť nezávislú žurnalistiku a demokratický systém bŕzd a protiváh;</w:t>
      </w:r>
    </w:p>
    <w:p w14:paraId="1E812938" w14:textId="77777777" w:rsidR="0018070F" w:rsidRPr="00AE5DF4" w:rsidRDefault="0018070F" w:rsidP="0018070F">
      <w:pPr>
        <w:pStyle w:val="NormalHanging12a"/>
      </w:pPr>
      <w:r w:rsidRPr="00AE5DF4">
        <w:t>15.</w:t>
      </w:r>
      <w:r w:rsidRPr="00AE5DF4">
        <w:tab/>
        <w:t>pripomína dôležitú úlohu verejnoprávnych vysielateľov pri zachovávaní plurality médií, ktorá je uznaná v protokole (č. 29) k zmluvám; vyzýva členské štáty, aby poskytli primerané finančné a technické prostriedky, aby verejnoprávni vysielatelia mohli plniť svoju sociálnu funkciu a slúžiť verejnému záujmu; ďalej vyzýva členské štáty, aby zaručili redakčnú nezávislosť verejnoprávnych vysielateľov tým, že ich ochránia pomocou jasne vymedzených regulačných rámcov pred akoukoľvek formou vládneho, politického a obchodného zasahovania a zároveň zabezpečia úplnú autonómiu riadenia a nezávislosť všetkých verejných orgánov a subjektov, ktoré vykonávajú právomoci v oblasti vysielania a telekomunikácií;</w:t>
      </w:r>
    </w:p>
    <w:p w14:paraId="5C170E34" w14:textId="77777777" w:rsidR="0018070F" w:rsidRPr="00AE5DF4" w:rsidRDefault="0018070F" w:rsidP="0018070F">
      <w:pPr>
        <w:pStyle w:val="NormalHanging12a"/>
      </w:pPr>
      <w:r w:rsidRPr="00AE5DF4">
        <w:t xml:space="preserve">16. </w:t>
      </w:r>
      <w:r w:rsidRPr="00AE5DF4">
        <w:tab/>
        <w:t xml:space="preserve">zdôrazňuje, že ochrana nezávislosti verejnoprávnych médií je spoločnou európskou zodpovednosťou a nevyhnutnou podmienkou dôveryhodnosti EÚ ako spoločenstva </w:t>
      </w:r>
      <w:r w:rsidRPr="00AE5DF4">
        <w:lastRenderedPageBreak/>
        <w:t>založeného na demokracii, právnom štáte a základných právach;</w:t>
      </w:r>
    </w:p>
    <w:p w14:paraId="7B88B7F4" w14:textId="5A1BBC3E" w:rsidR="0018070F" w:rsidRPr="00AE5DF4" w:rsidRDefault="0018070F" w:rsidP="0018070F">
      <w:pPr>
        <w:pStyle w:val="NormalHanging12a"/>
      </w:pPr>
      <w:r w:rsidRPr="00AE5DF4">
        <w:t xml:space="preserve">17. </w:t>
      </w:r>
      <w:r w:rsidRPr="00AE5DF4">
        <w:tab/>
        <w:t>víta záväzok Komisie posilniť odolnosť médií v celej EÚ, a to aj zvýšeným financovaním a cielenou podporou nezávislých, miestnych a verejnoprávnych médií; zdôrazňuje, že takáto podpora je nevyhnutná nato, aby sa zabránilo úpadku demokracie a aby sa zabezpečila informovaná aktívna účasť občanov;</w:t>
      </w:r>
    </w:p>
    <w:p w14:paraId="079B7D74" w14:textId="129E2416" w:rsidR="00E365E1" w:rsidRPr="00AE5DF4" w:rsidRDefault="0018070F" w:rsidP="00AE5DF4">
      <w:pPr>
        <w:pStyle w:val="NormalHanging12a"/>
      </w:pPr>
      <w:r w:rsidRPr="00AE5DF4">
        <w:t>18.</w:t>
      </w:r>
      <w:r w:rsidRPr="00AE5DF4">
        <w:tab/>
        <w:t>poveruje svoju predsedníčku, aby postúpila toto uznesenie Rade, Komisii, litovskému parlamentu, prezidentovi a vláde Litovskej republiky a Rade Európy.</w:t>
      </w:r>
    </w:p>
    <w:sectPr w:rsidR="00E365E1" w:rsidRPr="00AE5DF4" w:rsidSect="001514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106FB" w14:textId="77777777" w:rsidR="00C02E43" w:rsidRPr="0015143A" w:rsidRDefault="00C02E43">
      <w:r w:rsidRPr="0015143A">
        <w:separator/>
      </w:r>
    </w:p>
  </w:endnote>
  <w:endnote w:type="continuationSeparator" w:id="0">
    <w:p w14:paraId="24D369BE" w14:textId="77777777" w:rsidR="00C02E43" w:rsidRPr="0015143A" w:rsidRDefault="00C02E43">
      <w:r w:rsidRPr="001514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B9D43" w14:textId="77777777" w:rsidR="00064002" w:rsidRPr="001514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C17FA" w14:textId="77777777" w:rsidR="00064002" w:rsidRPr="001514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29EA9" w14:textId="77777777" w:rsidR="00064002" w:rsidRPr="001514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F6CD2" w14:textId="77777777" w:rsidR="00C02E43" w:rsidRPr="0015143A" w:rsidRDefault="00C02E43">
      <w:r w:rsidRPr="0015143A">
        <w:separator/>
      </w:r>
    </w:p>
  </w:footnote>
  <w:footnote w:type="continuationSeparator" w:id="0">
    <w:p w14:paraId="020E45F3" w14:textId="77777777" w:rsidR="00C02E43" w:rsidRPr="0015143A" w:rsidRDefault="00C02E43">
      <w:r w:rsidRPr="0015143A">
        <w:continuationSeparator/>
      </w:r>
    </w:p>
  </w:footnote>
  <w:footnote w:id="1">
    <w:p w14:paraId="4E62EAD1" w14:textId="31B0C1A6" w:rsidR="0018070F" w:rsidRPr="0015143A" w:rsidRDefault="0018070F" w:rsidP="0015143A">
      <w:pPr>
        <w:pStyle w:val="FootnoteText"/>
        <w:ind w:left="567" w:hanging="567"/>
        <w:rPr>
          <w:sz w:val="24"/>
          <w:lang w:val="sk-SK"/>
        </w:rPr>
      </w:pPr>
      <w:r w:rsidRPr="0015143A">
        <w:rPr>
          <w:rStyle w:val="FootnoteReference"/>
          <w:sz w:val="24"/>
          <w:lang w:val="sk-SK"/>
        </w:rPr>
        <w:footnoteRef/>
      </w:r>
      <w:r w:rsidR="0015143A" w:rsidRPr="0015143A">
        <w:rPr>
          <w:sz w:val="24"/>
          <w:lang w:val="sk-SK"/>
        </w:rPr>
        <w:t xml:space="preserve"> </w:t>
      </w:r>
      <w:r w:rsidR="0015143A" w:rsidRPr="0015143A">
        <w:rPr>
          <w:sz w:val="24"/>
          <w:lang w:val="sk-SK"/>
        </w:rPr>
        <w:tab/>
      </w:r>
      <w:r w:rsidRPr="0015143A">
        <w:rPr>
          <w:sz w:val="24"/>
          <w:lang w:val="sk-SK"/>
        </w:rPr>
        <w:t xml:space="preserve">Ú. v. EÚ L, 2024/1083, 17.4.2024, ELI: </w:t>
      </w:r>
      <w:hyperlink r:id="rId1" w:history="1">
        <w:r w:rsidRPr="0015143A">
          <w:rPr>
            <w:rStyle w:val="Hyperlink"/>
            <w:sz w:val="24"/>
            <w:lang w:val="sk-SK"/>
          </w:rPr>
          <w:t>http://data.europa.eu/eli/reg/2024/1083/oj</w:t>
        </w:r>
      </w:hyperlink>
      <w:r w:rsidRPr="0015143A">
        <w:rPr>
          <w:sz w:val="24"/>
          <w:lang w:val="sk-SK"/>
        </w:rPr>
        <w:t>.</w:t>
      </w:r>
    </w:p>
  </w:footnote>
  <w:footnote w:id="2">
    <w:p w14:paraId="43D7419F" w14:textId="12233E11" w:rsidR="0018070F" w:rsidRPr="0015143A" w:rsidRDefault="0018070F" w:rsidP="0015143A">
      <w:pPr>
        <w:pStyle w:val="FootnoteText"/>
        <w:ind w:left="567" w:hanging="567"/>
        <w:rPr>
          <w:sz w:val="24"/>
          <w:lang w:val="sk-SK"/>
        </w:rPr>
      </w:pPr>
      <w:r w:rsidRPr="0015143A">
        <w:rPr>
          <w:rStyle w:val="FootnoteReference"/>
          <w:sz w:val="24"/>
          <w:lang w:val="sk-SK"/>
        </w:rPr>
        <w:footnoteRef/>
      </w:r>
      <w:r w:rsidR="0015143A" w:rsidRPr="0015143A">
        <w:rPr>
          <w:sz w:val="24"/>
          <w:lang w:val="sk-SK"/>
        </w:rPr>
        <w:t xml:space="preserve"> </w:t>
      </w:r>
      <w:r w:rsidR="0015143A" w:rsidRPr="0015143A">
        <w:rPr>
          <w:sz w:val="24"/>
          <w:lang w:val="sk-SK"/>
        </w:rPr>
        <w:tab/>
      </w:r>
      <w:r w:rsidRPr="0015143A">
        <w:rPr>
          <w:sz w:val="24"/>
          <w:lang w:val="sk-SK"/>
        </w:rPr>
        <w:t xml:space="preserve">Ú. v. EÚ C 326, 26.10.2012, s. 312, ELI: </w:t>
      </w:r>
      <w:hyperlink r:id="rId2" w:history="1">
        <w:r w:rsidRPr="0015143A">
          <w:rPr>
            <w:rStyle w:val="Hyperlink"/>
            <w:sz w:val="24"/>
            <w:lang w:val="sk-SK"/>
          </w:rPr>
          <w:t>http://data.europa.eu/eli/treaty/tfeu_2012/pro_29/oj</w:t>
        </w:r>
      </w:hyperlink>
      <w:r w:rsidRPr="0015143A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107AA" w14:textId="77777777" w:rsidR="00064002" w:rsidRPr="001514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9ADFA" w14:textId="77777777" w:rsidR="00064002" w:rsidRPr="001514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233" w14:textId="77777777" w:rsidR="00064002" w:rsidRPr="001514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1915383">
    <w:abstractNumId w:val="9"/>
  </w:num>
  <w:num w:numId="2" w16cid:durableId="431628184">
    <w:abstractNumId w:val="9"/>
  </w:num>
  <w:num w:numId="3" w16cid:durableId="1646736362">
    <w:abstractNumId w:val="7"/>
  </w:num>
  <w:num w:numId="4" w16cid:durableId="559098377">
    <w:abstractNumId w:val="7"/>
  </w:num>
  <w:num w:numId="5" w16cid:durableId="1773695641">
    <w:abstractNumId w:val="6"/>
  </w:num>
  <w:num w:numId="6" w16cid:durableId="726221380">
    <w:abstractNumId w:val="6"/>
  </w:num>
  <w:num w:numId="7" w16cid:durableId="490754938">
    <w:abstractNumId w:val="5"/>
  </w:num>
  <w:num w:numId="8" w16cid:durableId="917326200">
    <w:abstractNumId w:val="5"/>
  </w:num>
  <w:num w:numId="9" w16cid:durableId="171770090">
    <w:abstractNumId w:val="4"/>
  </w:num>
  <w:num w:numId="10" w16cid:durableId="781609089">
    <w:abstractNumId w:val="4"/>
  </w:num>
  <w:num w:numId="11" w16cid:durableId="1884712111">
    <w:abstractNumId w:val="8"/>
  </w:num>
  <w:num w:numId="12" w16cid:durableId="1658723716">
    <w:abstractNumId w:val="8"/>
  </w:num>
  <w:num w:numId="13" w16cid:durableId="651955672">
    <w:abstractNumId w:val="3"/>
  </w:num>
  <w:num w:numId="14" w16cid:durableId="1162627444">
    <w:abstractNumId w:val="3"/>
  </w:num>
  <w:num w:numId="15" w16cid:durableId="699284875">
    <w:abstractNumId w:val="2"/>
  </w:num>
  <w:num w:numId="16" w16cid:durableId="760292632">
    <w:abstractNumId w:val="2"/>
  </w:num>
  <w:num w:numId="17" w16cid:durableId="602497571">
    <w:abstractNumId w:val="1"/>
  </w:num>
  <w:num w:numId="18" w16cid:durableId="1837110158">
    <w:abstractNumId w:val="1"/>
  </w:num>
  <w:num w:numId="19" w16cid:durableId="811677668">
    <w:abstractNumId w:val="0"/>
  </w:num>
  <w:num w:numId="20" w16cid:durableId="184753879">
    <w:abstractNumId w:val="0"/>
  </w:num>
  <w:num w:numId="21" w16cid:durableId="288626894">
    <w:abstractNumId w:val="9"/>
  </w:num>
  <w:num w:numId="22" w16cid:durableId="1753312984">
    <w:abstractNumId w:val="7"/>
  </w:num>
  <w:num w:numId="23" w16cid:durableId="716245979">
    <w:abstractNumId w:val="6"/>
  </w:num>
  <w:num w:numId="24" w16cid:durableId="2009746039">
    <w:abstractNumId w:val="5"/>
  </w:num>
  <w:num w:numId="25" w16cid:durableId="1570768165">
    <w:abstractNumId w:val="4"/>
  </w:num>
  <w:num w:numId="26" w16cid:durableId="1993634930">
    <w:abstractNumId w:val="8"/>
  </w:num>
  <w:num w:numId="27" w16cid:durableId="604700684">
    <w:abstractNumId w:val="3"/>
  </w:num>
  <w:num w:numId="28" w16cid:durableId="115610020">
    <w:abstractNumId w:val="2"/>
  </w:num>
  <w:num w:numId="29" w16cid:durableId="659624017">
    <w:abstractNumId w:val="1"/>
  </w:num>
  <w:num w:numId="30" w16cid:durableId="1617524240">
    <w:abstractNumId w:val="0"/>
  </w:num>
  <w:num w:numId="31" w16cid:durableId="761032747">
    <w:abstractNumId w:val="9"/>
  </w:num>
  <w:num w:numId="32" w16cid:durableId="714087505">
    <w:abstractNumId w:val="7"/>
  </w:num>
  <w:num w:numId="33" w16cid:durableId="795222889">
    <w:abstractNumId w:val="6"/>
  </w:num>
  <w:num w:numId="34" w16cid:durableId="1462304899">
    <w:abstractNumId w:val="5"/>
  </w:num>
  <w:num w:numId="35" w16cid:durableId="2139761097">
    <w:abstractNumId w:val="4"/>
  </w:num>
  <w:num w:numId="36" w16cid:durableId="169687736">
    <w:abstractNumId w:val="8"/>
  </w:num>
  <w:num w:numId="37" w16cid:durableId="609239806">
    <w:abstractNumId w:val="3"/>
  </w:num>
  <w:num w:numId="38" w16cid:durableId="464858403">
    <w:abstractNumId w:val="2"/>
  </w:num>
  <w:num w:numId="39" w16cid:durableId="420030071">
    <w:abstractNumId w:val="1"/>
  </w:num>
  <w:num w:numId="40" w16cid:durableId="924612548">
    <w:abstractNumId w:val="0"/>
  </w:num>
  <w:num w:numId="41" w16cid:durableId="989791154">
    <w:abstractNumId w:val="10"/>
  </w:num>
  <w:num w:numId="42" w16cid:durableId="1315186856">
    <w:abstractNumId w:val="10"/>
  </w:num>
  <w:num w:numId="43" w16cid:durableId="1571846467">
    <w:abstractNumId w:val="10"/>
  </w:num>
  <w:num w:numId="44" w16cid:durableId="858203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70, 0073, 0074, 0075 a 0078/2026"/>
    <w:docVar w:name="dvlangue" w:val="SK"/>
    <w:docVar w:name="dvnumam" w:val="0"/>
    <w:docVar w:name="dvpe" w:val="782.026"/>
    <w:docVar w:name="dvtitre" w:val="Uznesenie Európskeho parlamentu z/zo xx. xxx 2026 o pokuse o prevzatie litovského verejnoprávneho vysielateľa a ohrození demokracie v Litve(2026/2568(RSP))"/>
  </w:docVars>
  <w:rsids>
    <w:rsidRoot w:val="00C02E43"/>
    <w:rsid w:val="00002272"/>
    <w:rsid w:val="00064002"/>
    <w:rsid w:val="000677B9"/>
    <w:rsid w:val="000831BA"/>
    <w:rsid w:val="000A42CC"/>
    <w:rsid w:val="000E7DD9"/>
    <w:rsid w:val="0010095E"/>
    <w:rsid w:val="00125B37"/>
    <w:rsid w:val="0015143A"/>
    <w:rsid w:val="0018070F"/>
    <w:rsid w:val="00187494"/>
    <w:rsid w:val="001F2414"/>
    <w:rsid w:val="001F32AE"/>
    <w:rsid w:val="00260E67"/>
    <w:rsid w:val="002767FF"/>
    <w:rsid w:val="002B18FE"/>
    <w:rsid w:val="002B5493"/>
    <w:rsid w:val="00343214"/>
    <w:rsid w:val="00361C00"/>
    <w:rsid w:val="00395FA1"/>
    <w:rsid w:val="003E15D4"/>
    <w:rsid w:val="00407F7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440"/>
    <w:rsid w:val="007D1690"/>
    <w:rsid w:val="007E22AD"/>
    <w:rsid w:val="00817416"/>
    <w:rsid w:val="00842779"/>
    <w:rsid w:val="00865F67"/>
    <w:rsid w:val="00881A7B"/>
    <w:rsid w:val="008840E5"/>
    <w:rsid w:val="00887B3E"/>
    <w:rsid w:val="008B56D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DF4"/>
    <w:rsid w:val="00AF3B82"/>
    <w:rsid w:val="00B12E95"/>
    <w:rsid w:val="00B22876"/>
    <w:rsid w:val="00B558F0"/>
    <w:rsid w:val="00BC21A2"/>
    <w:rsid w:val="00BD48FE"/>
    <w:rsid w:val="00BD7BD8"/>
    <w:rsid w:val="00BE6ADC"/>
    <w:rsid w:val="00C02E4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A03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56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12AD0"/>
  <w15:chartTrackingRefBased/>
  <w15:docId w15:val="{F22B7710-E1E2-4664-B881-F78B2DBE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8070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8070F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8070F"/>
    <w:rPr>
      <w:sz w:val="24"/>
      <w:lang w:val="sk-SK"/>
    </w:rPr>
  </w:style>
  <w:style w:type="character" w:styleId="Hyperlink">
    <w:name w:val="Hyperlink"/>
    <w:basedOn w:val="DefaultParagraphFont"/>
    <w:rsid w:val="0018070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07F7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treaty/tfeu_2012/pro_29/oj" TargetMode="External"/><Relationship Id="rId1" Type="http://schemas.openxmlformats.org/officeDocument/2006/relationships/hyperlink" Target="http://data.europa.eu/eli/reg/2024/10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2992</Words>
  <Characters>19382</Characters>
  <Application>Microsoft Office Word</Application>
  <DocSecurity>0</DocSecurity>
  <Lines>161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2026-03-03T07:46:00Z</dcterms:created>
  <dcterms:modified xsi:type="dcterms:W3CDTF">2026-03-03T07:46:00Z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B10-0070, 0073, 0074, 0075 a 0078/2026</vt:lpwstr>
  </property>
  <property fmtid="{D5CDD505-2E9C-101B-9397-08002B2CF9AE}" pid="4" name="&lt;Type&gt;">
    <vt:lpwstr>RR</vt:lpwstr>
  </property>
</Properties>
</file>