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9C631D" w14:paraId="153373A8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1C76BE64" w14:textId="77777777" w:rsidR="00751A4A" w:rsidRPr="009C631D" w:rsidRDefault="006502CA" w:rsidP="0010095E">
            <w:pPr>
              <w:pStyle w:val="EPName"/>
            </w:pPr>
            <w:r w:rsidRPr="009C631D">
              <w:t>Parlament Europejski</w:t>
            </w:r>
          </w:p>
          <w:p w14:paraId="1272B518" w14:textId="77777777" w:rsidR="00751A4A" w:rsidRPr="009C631D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9C631D">
              <w:t>2024</w:t>
            </w:r>
            <w:r w:rsidR="00817416" w:rsidRPr="009C631D">
              <w:t>-202</w:t>
            </w:r>
            <w:r w:rsidRPr="009C631D">
              <w:t>9</w:t>
            </w:r>
          </w:p>
        </w:tc>
        <w:tc>
          <w:tcPr>
            <w:tcW w:w="2268" w:type="dxa"/>
            <w:shd w:val="clear" w:color="auto" w:fill="auto"/>
          </w:tcPr>
          <w:p w14:paraId="559A22BC" w14:textId="77777777" w:rsidR="00751A4A" w:rsidRPr="009C631D" w:rsidRDefault="00187494" w:rsidP="0010095E">
            <w:pPr>
              <w:pStyle w:val="EPLogo"/>
            </w:pPr>
            <w:r w:rsidRPr="009C631D">
              <w:rPr>
                <w:noProof/>
                <w:lang w:eastAsia="ja-JP"/>
              </w:rPr>
              <w:drawing>
                <wp:inline distT="0" distB="0" distL="0" distR="0" wp14:anchorId="58F734F2" wp14:editId="1EB71CE1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1E8BEA8" w14:textId="77777777" w:rsidR="00D058B8" w:rsidRPr="009C631D" w:rsidRDefault="00D058B8" w:rsidP="004C5D52">
      <w:pPr>
        <w:pStyle w:val="LineTop"/>
      </w:pPr>
    </w:p>
    <w:p w14:paraId="08E72FF1" w14:textId="77777777" w:rsidR="00680577" w:rsidRPr="009C631D" w:rsidRDefault="006502CA" w:rsidP="00680577">
      <w:pPr>
        <w:pStyle w:val="EPBodyTA1"/>
      </w:pPr>
      <w:r w:rsidRPr="009C631D">
        <w:t>TEKSTY PRZYJĘTE</w:t>
      </w:r>
    </w:p>
    <w:p w14:paraId="2826DC3C" w14:textId="77777777" w:rsidR="00D058B8" w:rsidRPr="009C631D" w:rsidRDefault="00D058B8" w:rsidP="00D058B8">
      <w:pPr>
        <w:pStyle w:val="LineBottom"/>
      </w:pPr>
    </w:p>
    <w:p w14:paraId="75DBBFA9" w14:textId="28A31823" w:rsidR="006502CA" w:rsidRPr="009C631D" w:rsidRDefault="006502CA" w:rsidP="006502CA">
      <w:pPr>
        <w:pStyle w:val="ATHeading1"/>
      </w:pPr>
      <w:bookmarkStart w:id="0" w:name="TANumber"/>
      <w:r w:rsidRPr="009C631D">
        <w:t>P10_TA(2026)00</w:t>
      </w:r>
      <w:bookmarkEnd w:id="0"/>
      <w:r w:rsidR="004C377C">
        <w:t>25</w:t>
      </w:r>
    </w:p>
    <w:p w14:paraId="0A54BCBF" w14:textId="77777777" w:rsidR="006502CA" w:rsidRPr="009C631D" w:rsidRDefault="006502CA" w:rsidP="006502CA">
      <w:pPr>
        <w:pStyle w:val="ATHeading2"/>
      </w:pPr>
      <w:bookmarkStart w:id="1" w:name="title"/>
      <w:r w:rsidRPr="009C631D">
        <w:t>Ustanowienie wykazu bezpiecznych krajów pochodzenia na poziomie Unii</w:t>
      </w:r>
      <w:bookmarkEnd w:id="1"/>
    </w:p>
    <w:p w14:paraId="6FD992B9" w14:textId="77777777" w:rsidR="006502CA" w:rsidRPr="009C631D" w:rsidRDefault="006502CA" w:rsidP="006502CA">
      <w:pPr>
        <w:rPr>
          <w:i/>
          <w:vanish/>
        </w:rPr>
      </w:pPr>
      <w:r w:rsidRPr="009C631D">
        <w:rPr>
          <w:i/>
        </w:rPr>
        <w:fldChar w:fldCharType="begin"/>
      </w:r>
      <w:r w:rsidRPr="009C631D">
        <w:rPr>
          <w:i/>
        </w:rPr>
        <w:instrText xml:space="preserve"> TC"(</w:instrText>
      </w:r>
      <w:bookmarkStart w:id="2" w:name="DocNumber"/>
      <w:r w:rsidRPr="009C631D">
        <w:rPr>
          <w:i/>
        </w:rPr>
        <w:instrText>A10-0259/2025</w:instrText>
      </w:r>
      <w:bookmarkEnd w:id="2"/>
      <w:r w:rsidRPr="009C631D">
        <w:rPr>
          <w:i/>
        </w:rPr>
        <w:instrText xml:space="preserve"> - Sprawozdawca: Alessandro Ciriani)"\l3 \n&gt; \* MERGEFORMAT </w:instrText>
      </w:r>
      <w:r w:rsidRPr="009C631D">
        <w:rPr>
          <w:i/>
        </w:rPr>
        <w:fldChar w:fldCharType="end"/>
      </w:r>
    </w:p>
    <w:p w14:paraId="08DEAAE9" w14:textId="77777777" w:rsidR="006502CA" w:rsidRPr="009C631D" w:rsidRDefault="006502CA" w:rsidP="006502CA">
      <w:pPr>
        <w:rPr>
          <w:vanish/>
        </w:rPr>
      </w:pPr>
      <w:bookmarkStart w:id="3" w:name="Commission"/>
      <w:r w:rsidRPr="009C631D">
        <w:rPr>
          <w:vanish/>
        </w:rPr>
        <w:t>Komisja Wolności Obywatelskich, Sprawiedliwości i Spraw Wewnętrznych</w:t>
      </w:r>
      <w:bookmarkEnd w:id="3"/>
    </w:p>
    <w:p w14:paraId="614F6F1B" w14:textId="77777777" w:rsidR="006502CA" w:rsidRPr="009C631D" w:rsidRDefault="006502CA" w:rsidP="006502CA">
      <w:pPr>
        <w:rPr>
          <w:vanish/>
        </w:rPr>
      </w:pPr>
      <w:bookmarkStart w:id="4" w:name="PE"/>
      <w:r w:rsidRPr="009C631D">
        <w:rPr>
          <w:vanish/>
        </w:rPr>
        <w:t>PE778.073</w:t>
      </w:r>
      <w:bookmarkEnd w:id="4"/>
    </w:p>
    <w:p w14:paraId="3F663D12" w14:textId="4F66AF37" w:rsidR="006502CA" w:rsidRPr="009C631D" w:rsidRDefault="006502CA" w:rsidP="006502CA">
      <w:pPr>
        <w:pStyle w:val="ATHeading3"/>
      </w:pPr>
      <w:bookmarkStart w:id="5" w:name="Sujet"/>
      <w:r w:rsidRPr="009C631D">
        <w:t xml:space="preserve">Rezolucja ustawodawcza Parlamentu Europejskiego z dnia </w:t>
      </w:r>
      <w:r w:rsidR="00A56705">
        <w:t>10</w:t>
      </w:r>
      <w:r w:rsidRPr="009C631D">
        <w:t xml:space="preserve"> </w:t>
      </w:r>
      <w:r w:rsidR="00A56705">
        <w:t xml:space="preserve">lutego </w:t>
      </w:r>
      <w:r w:rsidRPr="009C631D">
        <w:t>2026 r. w sprawie wniosku dotyczącego rozporządzenia Parlamentu Europejskiego i Rady zmieniającego rozporządzenie (UE) 2024/1348 w odniesieniu do ustanowienia wykazu bezpiecznych krajów pochodzenia na poziomie Unii</w:t>
      </w:r>
      <w:bookmarkEnd w:id="5"/>
      <w:r w:rsidRPr="009C631D">
        <w:t xml:space="preserve"> </w:t>
      </w:r>
      <w:bookmarkStart w:id="6" w:name="References"/>
      <w:r w:rsidRPr="009C631D">
        <w:t>(COM(2025)0186 – C10-0069/2025 – 2025/0101(COD))</w:t>
      </w:r>
      <w:bookmarkEnd w:id="6"/>
    </w:p>
    <w:p w14:paraId="359B0510" w14:textId="77777777" w:rsidR="00A814E0" w:rsidRPr="009C631D" w:rsidRDefault="00A814E0" w:rsidP="00A814E0">
      <w:pPr>
        <w:pStyle w:val="NormalBold"/>
      </w:pPr>
      <w:r w:rsidRPr="009C631D">
        <w:t>(Zwykła procedura ustawodawcza: pierwsze czytanie)</w:t>
      </w:r>
    </w:p>
    <w:p w14:paraId="171E12AD" w14:textId="77777777" w:rsidR="00A814E0" w:rsidRPr="009C631D" w:rsidRDefault="00A814E0" w:rsidP="00A814E0">
      <w:pPr>
        <w:pStyle w:val="EPComma"/>
      </w:pPr>
      <w:r w:rsidRPr="009C631D">
        <w:rPr>
          <w:i/>
          <w:iCs/>
        </w:rPr>
        <w:t>Parlament Europejski,</w:t>
      </w:r>
    </w:p>
    <w:p w14:paraId="77BF44D8" w14:textId="77777777" w:rsidR="00A814E0" w:rsidRPr="009C631D" w:rsidRDefault="00A814E0" w:rsidP="00A814E0">
      <w:pPr>
        <w:pStyle w:val="NormalHanging12a"/>
      </w:pPr>
      <w:r w:rsidRPr="009C631D">
        <w:t>–</w:t>
      </w:r>
      <w:r w:rsidRPr="009C631D">
        <w:tab/>
        <w:t>uwzględniając wniosek Komisji przedstawiony Parlamentowi Europejskiemu i Radzie (COM(2025)0186),</w:t>
      </w:r>
    </w:p>
    <w:p w14:paraId="7FC1160A" w14:textId="77777777" w:rsidR="00A814E0" w:rsidRPr="009C631D" w:rsidRDefault="00A814E0" w:rsidP="00A814E0">
      <w:pPr>
        <w:pStyle w:val="NormalHanging12a"/>
      </w:pPr>
      <w:r w:rsidRPr="009C631D">
        <w:t>–</w:t>
      </w:r>
      <w:r w:rsidRPr="009C631D">
        <w:tab/>
        <w:t>uwzględniając art. 294 ust. 2 oraz art. 78 ust. 2 lit. d) Traktatu o funkcjonowaniu Unii Europejskiej, zgodnie z którymi wniosek został przedstawiony Parlamentowi przez Komisję (C10</w:t>
      </w:r>
      <w:r w:rsidRPr="009C631D">
        <w:noBreakHyphen/>
        <w:t>0069/2025),</w:t>
      </w:r>
    </w:p>
    <w:p w14:paraId="2D777C57" w14:textId="77777777" w:rsidR="00A814E0" w:rsidRPr="009C631D" w:rsidRDefault="00A814E0" w:rsidP="00A814E0">
      <w:pPr>
        <w:pStyle w:val="NormalHanging12a"/>
      </w:pPr>
      <w:r w:rsidRPr="009C631D">
        <w:t>–</w:t>
      </w:r>
      <w:r w:rsidRPr="009C631D">
        <w:tab/>
        <w:t>uwzględniając art. 294 ust. 3 Traktatu o funkcjonowaniu Unii Europejskiej,</w:t>
      </w:r>
    </w:p>
    <w:p w14:paraId="5BE9CF13" w14:textId="77777777" w:rsidR="00A814E0" w:rsidRPr="009C631D" w:rsidRDefault="00A814E0" w:rsidP="00A814E0">
      <w:pPr>
        <w:pStyle w:val="NormalHanging12a"/>
      </w:pPr>
      <w:r w:rsidRPr="009C631D">
        <w:t>–</w:t>
      </w:r>
      <w:r w:rsidRPr="009C631D">
        <w:tab/>
        <w:t>uwzględniając opinię Europejskiego Komitetu Ekonomiczno-Społecznego z dnia 23 października 2025 r.</w:t>
      </w:r>
      <w:r w:rsidRPr="009C631D">
        <w:rPr>
          <w:rStyle w:val="FootnoteReference"/>
        </w:rPr>
        <w:footnoteReference w:id="1"/>
      </w:r>
      <w:r w:rsidRPr="009C631D">
        <w:t>,</w:t>
      </w:r>
    </w:p>
    <w:p w14:paraId="26E018B5" w14:textId="77777777" w:rsidR="00A56705" w:rsidRDefault="00A56705" w:rsidP="00A56705">
      <w:pPr>
        <w:pStyle w:val="Normal12Hanging"/>
        <w:ind w:left="567" w:hanging="567"/>
      </w:pPr>
      <w:bookmarkStart w:id="7" w:name="_Hlk208309836"/>
      <w:r w:rsidRPr="0090212C">
        <w:t>–</w:t>
      </w:r>
      <w:r w:rsidRPr="0090212C">
        <w:tab/>
      </w:r>
      <w:bookmarkStart w:id="8" w:name="_Hlk208304133"/>
      <w:r w:rsidRPr="0090212C">
        <w:t xml:space="preserve">uwzględniając wstępne porozumienie zatwierdzone przez komisję </w:t>
      </w:r>
      <w:r>
        <w:t xml:space="preserve">przedmiotowo właściwą </w:t>
      </w:r>
      <w:r w:rsidRPr="0090212C">
        <w:t xml:space="preserve">na podstawie art. </w:t>
      </w:r>
      <w:r>
        <w:t>75</w:t>
      </w:r>
      <w:r w:rsidRPr="0090212C">
        <w:t xml:space="preserve"> ust. 4 Regulaminu oraz </w:t>
      </w:r>
      <w:r>
        <w:t>przekazane pismem z dnia 19 grudnia 2025</w:t>
      </w:r>
      <w:r w:rsidRPr="0090212C">
        <w:t xml:space="preserve"> r.</w:t>
      </w:r>
      <w:r>
        <w:t xml:space="preserve"> zobowiązanie przedstawiciela Rady</w:t>
      </w:r>
      <w:r w:rsidRPr="0090212C">
        <w:t xml:space="preserve"> do zatwierdzenia stanowiska Parlament</w:t>
      </w:r>
      <w:r>
        <w:t>u</w:t>
      </w:r>
      <w:r w:rsidRPr="0090212C">
        <w:t>, zgodnie z art. 294 ust. 4 Traktatu o funkcjonowaniu Unii Europejskiej,</w:t>
      </w:r>
      <w:bookmarkEnd w:id="8"/>
    </w:p>
    <w:bookmarkEnd w:id="7"/>
    <w:p w14:paraId="33B9F1F5" w14:textId="77777777" w:rsidR="00A814E0" w:rsidRPr="009C631D" w:rsidRDefault="00A814E0" w:rsidP="00A814E0">
      <w:pPr>
        <w:pStyle w:val="NormalHanging12a"/>
      </w:pPr>
      <w:r w:rsidRPr="009C631D">
        <w:t>–</w:t>
      </w:r>
      <w:r w:rsidRPr="009C631D">
        <w:tab/>
        <w:t>uwzględniając art. 60 Regulaminu,</w:t>
      </w:r>
    </w:p>
    <w:p w14:paraId="7F84069D" w14:textId="23051347" w:rsidR="00A814E0" w:rsidRPr="009C631D" w:rsidRDefault="00A814E0" w:rsidP="00A814E0">
      <w:pPr>
        <w:pStyle w:val="NormalHanging12a"/>
      </w:pPr>
      <w:r w:rsidRPr="009C631D">
        <w:t>–</w:t>
      </w:r>
      <w:r w:rsidRPr="009C631D">
        <w:tab/>
        <w:t xml:space="preserve">uwzględniając opinię </w:t>
      </w:r>
      <w:r w:rsidR="00A56705">
        <w:t>K</w:t>
      </w:r>
      <w:r w:rsidR="00A56705" w:rsidRPr="009C631D">
        <w:t xml:space="preserve">omisji </w:t>
      </w:r>
      <w:r w:rsidR="00A56705">
        <w:t>Spraw Zagranicznych</w:t>
      </w:r>
      <w:r w:rsidRPr="009C631D">
        <w:t>,</w:t>
      </w:r>
    </w:p>
    <w:p w14:paraId="06FEA13C" w14:textId="77777777" w:rsidR="00A814E0" w:rsidRPr="009C631D" w:rsidRDefault="00A814E0" w:rsidP="00A814E0">
      <w:pPr>
        <w:pStyle w:val="NormalHanging12a"/>
      </w:pPr>
      <w:r w:rsidRPr="009C631D">
        <w:t>–</w:t>
      </w:r>
      <w:r w:rsidRPr="009C631D">
        <w:tab/>
        <w:t>uwzględniając sprawozdanie Komisji Wolności Obywatelskich, Sprawiedliwości i Spraw Wewnętrznych (A10-0259/2025),</w:t>
      </w:r>
    </w:p>
    <w:p w14:paraId="717C395C" w14:textId="77777777" w:rsidR="00A814E0" w:rsidRPr="009C631D" w:rsidRDefault="00A814E0" w:rsidP="00A814E0">
      <w:pPr>
        <w:pStyle w:val="NormalHanging12a"/>
      </w:pPr>
      <w:r w:rsidRPr="009C631D">
        <w:t>1.</w:t>
      </w:r>
      <w:r w:rsidRPr="009C631D">
        <w:tab/>
        <w:t>przyjmuje poniższe stanowisko w pierwszym czytaniu;</w:t>
      </w:r>
    </w:p>
    <w:p w14:paraId="45B171F6" w14:textId="77777777" w:rsidR="00A814E0" w:rsidRPr="009C631D" w:rsidRDefault="00A814E0" w:rsidP="00A814E0">
      <w:pPr>
        <w:pStyle w:val="NormalHanging12a"/>
      </w:pPr>
      <w:r w:rsidRPr="009C631D">
        <w:t>2.</w:t>
      </w:r>
      <w:r w:rsidRPr="009C631D">
        <w:tab/>
        <w:t xml:space="preserve">zwraca się do Komisji o ponowne przekazanie mu sprawy, jeśli zastąpi ona pierwotny </w:t>
      </w:r>
      <w:r w:rsidRPr="009C631D">
        <w:lastRenderedPageBreak/>
        <w:t>wniosek, wprowadzi w nim istotne zmiany lub planuje ich wprowadzenie;</w:t>
      </w:r>
    </w:p>
    <w:p w14:paraId="53B32266" w14:textId="77777777" w:rsidR="00DA362B" w:rsidRDefault="00A814E0" w:rsidP="00A814E0">
      <w:pPr>
        <w:pStyle w:val="NormalHanging12a"/>
        <w:sectPr w:rsidR="00DA362B" w:rsidSect="009C631D">
          <w:footnotePr>
            <w:numRestart w:val="eachSect"/>
          </w:foot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  <w:r w:rsidRPr="009C631D">
        <w:t>3.</w:t>
      </w:r>
      <w:r w:rsidRPr="009C631D">
        <w:tab/>
        <w:t>zobowiązuje swoją przewodniczącą do przekazania stanowiska Parlamentu Radzie i Komisji oraz parlamentom narodowym.</w:t>
      </w:r>
    </w:p>
    <w:p w14:paraId="735B321F" w14:textId="77777777" w:rsidR="00DA362B" w:rsidRPr="004C377C" w:rsidRDefault="00DA362B" w:rsidP="00DA362B">
      <w:pPr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  <w:szCs w:val="24"/>
        </w:rPr>
      </w:pPr>
      <w:r w:rsidRPr="004C377C">
        <w:rPr>
          <w:rFonts w:eastAsia="Calibri"/>
          <w:b/>
          <w:bCs/>
          <w:color w:val="000000"/>
          <w:szCs w:val="24"/>
        </w:rPr>
        <w:lastRenderedPageBreak/>
        <w:t>P10_TC1-COD(2025)0101</w:t>
      </w:r>
    </w:p>
    <w:p w14:paraId="2BF261DB" w14:textId="687B3718" w:rsidR="00DA362B" w:rsidRDefault="00DA362B" w:rsidP="00DA362B">
      <w:pPr>
        <w:spacing w:before="240"/>
        <w:rPr>
          <w:rFonts w:eastAsia="Calibri"/>
          <w:b/>
          <w:szCs w:val="22"/>
          <w:lang w:eastAsia="en-US"/>
        </w:rPr>
      </w:pPr>
      <w:r>
        <w:rPr>
          <w:b/>
        </w:rPr>
        <w:t xml:space="preserve">Stanowisko Parlamentu Europejskiego </w:t>
      </w:r>
      <w:r w:rsidRPr="00291A00">
        <w:rPr>
          <w:b/>
        </w:rPr>
        <w:t xml:space="preserve">przyjęte w pierwszym czytaniu w dniu </w:t>
      </w:r>
      <w:r>
        <w:rPr>
          <w:b/>
        </w:rPr>
        <w:t>10 lutego 2026 r.</w:t>
      </w:r>
      <w:r w:rsidRPr="00291A00">
        <w:rPr>
          <w:b/>
        </w:rPr>
        <w:t xml:space="preserve"> </w:t>
      </w:r>
      <w:r w:rsidRPr="00741191">
        <w:rPr>
          <w:b/>
        </w:rPr>
        <w:t>w celu przyjęcia rozporządzenia Parlamentu Europ</w:t>
      </w:r>
      <w:r>
        <w:rPr>
          <w:b/>
        </w:rPr>
        <w:t>ejskiego i Rady (UE) 202</w:t>
      </w:r>
      <w:r w:rsidR="00780323">
        <w:rPr>
          <w:b/>
        </w:rPr>
        <w:t>6</w:t>
      </w:r>
      <w:r>
        <w:rPr>
          <w:b/>
        </w:rPr>
        <w:t>/...</w:t>
      </w:r>
      <w:r w:rsidRPr="00741191">
        <w:rPr>
          <w:b/>
        </w:rPr>
        <w:t xml:space="preserve"> </w:t>
      </w:r>
      <w:r w:rsidRPr="00DA362B">
        <w:rPr>
          <w:rFonts w:eastAsia="Calibri"/>
          <w:b/>
          <w:szCs w:val="22"/>
          <w:lang w:eastAsia="en-US"/>
        </w:rPr>
        <w:t>w sprawie zmiany rozporządzenia (UE) 2024/1348 w odniesieniu do ustanowienia wykazu bezpiecznych krajów pochodzenia na poziomie Unii</w:t>
      </w:r>
    </w:p>
    <w:p w14:paraId="7905E63B" w14:textId="77777777" w:rsidR="00780323" w:rsidRDefault="00780323" w:rsidP="00DA362B">
      <w:pPr>
        <w:spacing w:before="240"/>
        <w:rPr>
          <w:rFonts w:eastAsia="Calibri"/>
          <w:b/>
          <w:szCs w:val="22"/>
          <w:lang w:eastAsia="en-US"/>
        </w:rPr>
      </w:pPr>
    </w:p>
    <w:p w14:paraId="2BE95EE4" w14:textId="6AA764E4" w:rsidR="00780323" w:rsidRDefault="00780323" w:rsidP="00DA362B">
      <w:pPr>
        <w:spacing w:before="240"/>
        <w:rPr>
          <w:b/>
        </w:rPr>
      </w:pPr>
      <w:r w:rsidRPr="0044243D">
        <w:rPr>
          <w:i/>
        </w:rPr>
        <w:t>(Jako że pomiędzy Parlamentem i Radą osiągnięte zostało porozumienie, stanowisko Parlamentu odpowiada ostatecznej wersji aktu prawnego</w:t>
      </w:r>
      <w:r>
        <w:rPr>
          <w:i/>
        </w:rPr>
        <w:t>, rozporządzenia (UE) 20</w:t>
      </w:r>
      <w:r>
        <w:rPr>
          <w:i/>
        </w:rPr>
        <w:t>26</w:t>
      </w:r>
      <w:r>
        <w:rPr>
          <w:i/>
        </w:rPr>
        <w:t>/</w:t>
      </w:r>
      <w:r>
        <w:rPr>
          <w:i/>
        </w:rPr>
        <w:t>464</w:t>
      </w:r>
      <w:r>
        <w:rPr>
          <w:i/>
        </w:rPr>
        <w:t>.)</w:t>
      </w:r>
    </w:p>
    <w:sectPr w:rsidR="00780323" w:rsidSect="00780323">
      <w:footnotePr>
        <w:numRestart w:val="eachSect"/>
      </w:footnotePr>
      <w:pgSz w:w="11907" w:h="16839" w:code="9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080C36" w14:textId="77777777" w:rsidR="006502CA" w:rsidRPr="009C631D" w:rsidRDefault="006502CA">
      <w:r w:rsidRPr="009C631D">
        <w:separator/>
      </w:r>
    </w:p>
  </w:endnote>
  <w:endnote w:type="continuationSeparator" w:id="0">
    <w:p w14:paraId="5F79EC86" w14:textId="77777777" w:rsidR="006502CA" w:rsidRPr="009C631D" w:rsidRDefault="006502CA">
      <w:r w:rsidRPr="009C631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6126D5" w14:textId="77777777" w:rsidR="006502CA" w:rsidRPr="009C631D" w:rsidRDefault="006502CA">
      <w:r w:rsidRPr="009C631D">
        <w:separator/>
      </w:r>
    </w:p>
  </w:footnote>
  <w:footnote w:type="continuationSeparator" w:id="0">
    <w:p w14:paraId="6584CFB6" w14:textId="77777777" w:rsidR="006502CA" w:rsidRPr="009C631D" w:rsidRDefault="006502CA">
      <w:r w:rsidRPr="009C631D">
        <w:continuationSeparator/>
      </w:r>
    </w:p>
  </w:footnote>
  <w:footnote w:id="1">
    <w:p w14:paraId="2A008E1D" w14:textId="21E1FE19" w:rsidR="00A814E0" w:rsidRPr="009C631D" w:rsidRDefault="00A814E0" w:rsidP="003F5DE3">
      <w:pPr>
        <w:pStyle w:val="FootnoteText"/>
        <w:spacing w:before="120"/>
        <w:ind w:left="567" w:hanging="567"/>
        <w:rPr>
          <w:sz w:val="24"/>
          <w:lang w:val="pl-PL"/>
        </w:rPr>
      </w:pPr>
      <w:r w:rsidRPr="009C631D">
        <w:rPr>
          <w:rStyle w:val="FootnoteReference"/>
          <w:sz w:val="24"/>
          <w:szCs w:val="24"/>
          <w:lang w:val="pl-PL"/>
        </w:rPr>
        <w:footnoteRef/>
      </w:r>
      <w:r w:rsidR="009C631D" w:rsidRPr="009C631D">
        <w:rPr>
          <w:sz w:val="24"/>
          <w:lang w:val="pl-PL"/>
        </w:rPr>
        <w:t xml:space="preserve"> </w:t>
      </w:r>
      <w:r w:rsidR="009C631D" w:rsidRPr="009C631D">
        <w:rPr>
          <w:sz w:val="24"/>
          <w:lang w:val="pl-PL"/>
        </w:rPr>
        <w:tab/>
      </w:r>
      <w:r w:rsidRPr="009C631D">
        <w:rPr>
          <w:sz w:val="24"/>
          <w:lang w:val="pl-PL"/>
        </w:rPr>
        <w:t>Dotychczas nieopublikowana w Dzienniku Urzędowym.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 w16cid:durableId="397677441">
    <w:abstractNumId w:val="9"/>
  </w:num>
  <w:num w:numId="2" w16cid:durableId="11955136">
    <w:abstractNumId w:val="9"/>
  </w:num>
  <w:num w:numId="3" w16cid:durableId="184178385">
    <w:abstractNumId w:val="7"/>
  </w:num>
  <w:num w:numId="4" w16cid:durableId="71855412">
    <w:abstractNumId w:val="7"/>
  </w:num>
  <w:num w:numId="5" w16cid:durableId="604384518">
    <w:abstractNumId w:val="6"/>
  </w:num>
  <w:num w:numId="6" w16cid:durableId="827357378">
    <w:abstractNumId w:val="6"/>
  </w:num>
  <w:num w:numId="7" w16cid:durableId="430586404">
    <w:abstractNumId w:val="5"/>
  </w:num>
  <w:num w:numId="8" w16cid:durableId="1429235818">
    <w:abstractNumId w:val="5"/>
  </w:num>
  <w:num w:numId="9" w16cid:durableId="423041271">
    <w:abstractNumId w:val="4"/>
  </w:num>
  <w:num w:numId="10" w16cid:durableId="1310671181">
    <w:abstractNumId w:val="4"/>
  </w:num>
  <w:num w:numId="11" w16cid:durableId="2244146">
    <w:abstractNumId w:val="8"/>
  </w:num>
  <w:num w:numId="12" w16cid:durableId="1054041582">
    <w:abstractNumId w:val="8"/>
  </w:num>
  <w:num w:numId="13" w16cid:durableId="1643921041">
    <w:abstractNumId w:val="3"/>
  </w:num>
  <w:num w:numId="14" w16cid:durableId="353072306">
    <w:abstractNumId w:val="3"/>
  </w:num>
  <w:num w:numId="15" w16cid:durableId="1879050116">
    <w:abstractNumId w:val="2"/>
  </w:num>
  <w:num w:numId="16" w16cid:durableId="1106969248">
    <w:abstractNumId w:val="2"/>
  </w:num>
  <w:num w:numId="17" w16cid:durableId="684674139">
    <w:abstractNumId w:val="1"/>
  </w:num>
  <w:num w:numId="18" w16cid:durableId="29888985">
    <w:abstractNumId w:val="1"/>
  </w:num>
  <w:num w:numId="19" w16cid:durableId="1547067216">
    <w:abstractNumId w:val="0"/>
  </w:num>
  <w:num w:numId="20" w16cid:durableId="189802875">
    <w:abstractNumId w:val="0"/>
  </w:num>
  <w:num w:numId="21" w16cid:durableId="1420637751">
    <w:abstractNumId w:val="9"/>
  </w:num>
  <w:num w:numId="22" w16cid:durableId="1905220198">
    <w:abstractNumId w:val="7"/>
  </w:num>
  <w:num w:numId="23" w16cid:durableId="269973324">
    <w:abstractNumId w:val="6"/>
  </w:num>
  <w:num w:numId="24" w16cid:durableId="1200165896">
    <w:abstractNumId w:val="5"/>
  </w:num>
  <w:num w:numId="25" w16cid:durableId="362748238">
    <w:abstractNumId w:val="4"/>
  </w:num>
  <w:num w:numId="26" w16cid:durableId="1476071887">
    <w:abstractNumId w:val="8"/>
  </w:num>
  <w:num w:numId="27" w16cid:durableId="1264387779">
    <w:abstractNumId w:val="3"/>
  </w:num>
  <w:num w:numId="28" w16cid:durableId="508447755">
    <w:abstractNumId w:val="2"/>
  </w:num>
  <w:num w:numId="29" w16cid:durableId="348020386">
    <w:abstractNumId w:val="1"/>
  </w:num>
  <w:num w:numId="30" w16cid:durableId="58142233">
    <w:abstractNumId w:val="0"/>
  </w:num>
  <w:num w:numId="31" w16cid:durableId="1140609595">
    <w:abstractNumId w:val="9"/>
  </w:num>
  <w:num w:numId="32" w16cid:durableId="1979190270">
    <w:abstractNumId w:val="7"/>
  </w:num>
  <w:num w:numId="33" w16cid:durableId="1087271250">
    <w:abstractNumId w:val="6"/>
  </w:num>
  <w:num w:numId="34" w16cid:durableId="1133520097">
    <w:abstractNumId w:val="5"/>
  </w:num>
  <w:num w:numId="35" w16cid:durableId="999889741">
    <w:abstractNumId w:val="4"/>
  </w:num>
  <w:num w:numId="36" w16cid:durableId="1768650978">
    <w:abstractNumId w:val="8"/>
  </w:num>
  <w:num w:numId="37" w16cid:durableId="311302093">
    <w:abstractNumId w:val="3"/>
  </w:num>
  <w:num w:numId="38" w16cid:durableId="567375637">
    <w:abstractNumId w:val="2"/>
  </w:num>
  <w:num w:numId="39" w16cid:durableId="1247884827">
    <w:abstractNumId w:val="1"/>
  </w:num>
  <w:num w:numId="40" w16cid:durableId="1031035027">
    <w:abstractNumId w:val="0"/>
  </w:num>
  <w:num w:numId="41" w16cid:durableId="1764104935">
    <w:abstractNumId w:val="10"/>
  </w:num>
  <w:num w:numId="42" w16cid:durableId="1045636608">
    <w:abstractNumId w:val="10"/>
  </w:num>
  <w:num w:numId="43" w16cid:durableId="1015426700">
    <w:abstractNumId w:val="10"/>
  </w:num>
  <w:num w:numId="44" w16cid:durableId="187985315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docse" w:val="A10-0259/2025"/>
    <w:docVar w:name="dvlangue" w:val="PL"/>
    <w:docVar w:name="dvnumam" w:val="0"/>
    <w:docVar w:name="dvpe" w:val="778.073"/>
    <w:docVar w:name="dvrapporteur" w:val="Sprawozdawca: "/>
    <w:docVar w:name="dvstar" w:val="***I"/>
    <w:docVar w:name="dvtitre" w:val="Rezolucja ustawodawcza Parlamentu Europejskiego z dnia  2026 r. w sprawie wniosku dotyczącego rozporządzenia Parlamentu Europejskiego i Rady zmieniającego rozporządzenie (UE) 2024/1348 w odniesieniu do ustanowienia wykazu bezpiecznych krajów pochodzenia na poziomie Unii(COM(2025)0186 – C10-0069/2025 – 2025/0101(COD))"/>
  </w:docVars>
  <w:rsids>
    <w:rsidRoot w:val="006502CA"/>
    <w:rsid w:val="00002272"/>
    <w:rsid w:val="00064002"/>
    <w:rsid w:val="000677B9"/>
    <w:rsid w:val="000831BA"/>
    <w:rsid w:val="000A42CC"/>
    <w:rsid w:val="000E7DD9"/>
    <w:rsid w:val="0010095E"/>
    <w:rsid w:val="00125B37"/>
    <w:rsid w:val="00186761"/>
    <w:rsid w:val="00187494"/>
    <w:rsid w:val="001F32AE"/>
    <w:rsid w:val="002767FF"/>
    <w:rsid w:val="002B18FE"/>
    <w:rsid w:val="002B5493"/>
    <w:rsid w:val="00343214"/>
    <w:rsid w:val="00361C00"/>
    <w:rsid w:val="00395FA1"/>
    <w:rsid w:val="003E15D4"/>
    <w:rsid w:val="003F5DE3"/>
    <w:rsid w:val="00411CCE"/>
    <w:rsid w:val="0041666E"/>
    <w:rsid w:val="00421060"/>
    <w:rsid w:val="00471C19"/>
    <w:rsid w:val="004867E3"/>
    <w:rsid w:val="00494A28"/>
    <w:rsid w:val="004C0004"/>
    <w:rsid w:val="004C377C"/>
    <w:rsid w:val="004C5D52"/>
    <w:rsid w:val="0050519A"/>
    <w:rsid w:val="005072A1"/>
    <w:rsid w:val="00514517"/>
    <w:rsid w:val="00545827"/>
    <w:rsid w:val="00560270"/>
    <w:rsid w:val="005C2568"/>
    <w:rsid w:val="005F1B17"/>
    <w:rsid w:val="006037C0"/>
    <w:rsid w:val="006502CA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0323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27E33"/>
    <w:rsid w:val="00930C23"/>
    <w:rsid w:val="0093193B"/>
    <w:rsid w:val="009509D8"/>
    <w:rsid w:val="00950B64"/>
    <w:rsid w:val="00981893"/>
    <w:rsid w:val="009C631D"/>
    <w:rsid w:val="00A1687D"/>
    <w:rsid w:val="00A43E52"/>
    <w:rsid w:val="00A4678D"/>
    <w:rsid w:val="00A56705"/>
    <w:rsid w:val="00A778C7"/>
    <w:rsid w:val="00A814E0"/>
    <w:rsid w:val="00AB441E"/>
    <w:rsid w:val="00AB6293"/>
    <w:rsid w:val="00AE0928"/>
    <w:rsid w:val="00AF3B82"/>
    <w:rsid w:val="00B12E95"/>
    <w:rsid w:val="00B22876"/>
    <w:rsid w:val="00B331A5"/>
    <w:rsid w:val="00B558F0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A03C6"/>
    <w:rsid w:val="00DA362B"/>
    <w:rsid w:val="00DA7FCD"/>
    <w:rsid w:val="00E365E1"/>
    <w:rsid w:val="00E820A4"/>
    <w:rsid w:val="00EB006A"/>
    <w:rsid w:val="00EB4772"/>
    <w:rsid w:val="00EB7870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4FAF73"/>
  <w15:chartTrackingRefBased/>
  <w15:docId w15:val="{3F3B5EB3-FFE8-4AE9-BE73-D31C78A9C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pl-PL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NormalBold">
    <w:name w:val="NormalBold"/>
    <w:basedOn w:val="Normal"/>
    <w:link w:val="NormalBoldChar"/>
    <w:rsid w:val="00A814E0"/>
    <w:rPr>
      <w:b/>
    </w:rPr>
  </w:style>
  <w:style w:type="paragraph" w:customStyle="1" w:styleId="NormalHanging12a">
    <w:name w:val="NormalHanging12a"/>
    <w:basedOn w:val="Normal"/>
    <w:rsid w:val="00A814E0"/>
    <w:pPr>
      <w:spacing w:after="240"/>
      <w:ind w:left="567" w:hanging="567"/>
    </w:pPr>
  </w:style>
  <w:style w:type="paragraph" w:customStyle="1" w:styleId="AmNumberTabs">
    <w:name w:val="AmNumberTabs"/>
    <w:basedOn w:val="Normal"/>
    <w:rsid w:val="00A814E0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rsid w:val="00A814E0"/>
    <w:pPr>
      <w:spacing w:before="240"/>
    </w:pPr>
    <w:rPr>
      <w:b/>
    </w:rPr>
  </w:style>
  <w:style w:type="paragraph" w:customStyle="1" w:styleId="EPComma">
    <w:name w:val="EPComma"/>
    <w:basedOn w:val="Normal"/>
    <w:rsid w:val="00A814E0"/>
    <w:pPr>
      <w:spacing w:before="480" w:after="240"/>
    </w:pPr>
  </w:style>
  <w:style w:type="character" w:customStyle="1" w:styleId="Normal6Char">
    <w:name w:val="Normal6 Char"/>
    <w:basedOn w:val="DefaultParagraphFont"/>
    <w:link w:val="Normal6"/>
    <w:locked/>
    <w:rsid w:val="00A814E0"/>
    <w:rPr>
      <w:sz w:val="24"/>
      <w:lang w:val="pl-PL"/>
    </w:rPr>
  </w:style>
  <w:style w:type="paragraph" w:customStyle="1" w:styleId="Normal6">
    <w:name w:val="Normal6"/>
    <w:basedOn w:val="Normal"/>
    <w:link w:val="Normal6Char"/>
    <w:rsid w:val="00A814E0"/>
    <w:pPr>
      <w:spacing w:after="120"/>
    </w:pPr>
  </w:style>
  <w:style w:type="character" w:customStyle="1" w:styleId="NormalBoldChar">
    <w:name w:val="NormalBold Char"/>
    <w:basedOn w:val="DefaultParagraphFont"/>
    <w:link w:val="NormalBold"/>
    <w:locked/>
    <w:rsid w:val="00A814E0"/>
    <w:rPr>
      <w:b/>
      <w:sz w:val="24"/>
      <w:lang w:val="pl-PL"/>
    </w:rPr>
  </w:style>
  <w:style w:type="paragraph" w:customStyle="1" w:styleId="ColumnHeading">
    <w:name w:val="ColumnHeading"/>
    <w:basedOn w:val="Normal"/>
    <w:rsid w:val="00A814E0"/>
    <w:pPr>
      <w:spacing w:after="240"/>
      <w:jc w:val="center"/>
    </w:pPr>
    <w:rPr>
      <w:i/>
    </w:rPr>
  </w:style>
  <w:style w:type="paragraph" w:customStyle="1" w:styleId="CrossRef">
    <w:name w:val="CrossRef"/>
    <w:basedOn w:val="Normal"/>
    <w:rsid w:val="00A814E0"/>
    <w:pPr>
      <w:spacing w:before="240"/>
      <w:jc w:val="center"/>
    </w:pPr>
    <w:rPr>
      <w:i/>
    </w:rPr>
  </w:style>
  <w:style w:type="paragraph" w:styleId="Revision">
    <w:name w:val="Revision"/>
    <w:hidden/>
    <w:uiPriority w:val="99"/>
    <w:semiHidden/>
    <w:rsid w:val="00A56705"/>
    <w:rPr>
      <w:sz w:val="24"/>
      <w:lang w:val="pl-PL"/>
    </w:rPr>
  </w:style>
  <w:style w:type="paragraph" w:customStyle="1" w:styleId="Normal12Hanging">
    <w:name w:val="Normal12Hanging"/>
    <w:basedOn w:val="Normal"/>
    <w:link w:val="Normal12HangingChar"/>
    <w:rsid w:val="00A56705"/>
    <w:pPr>
      <w:spacing w:after="240"/>
      <w:ind w:left="357" w:hanging="357"/>
    </w:pPr>
    <w:rPr>
      <w:snapToGrid w:val="0"/>
    </w:rPr>
  </w:style>
  <w:style w:type="character" w:customStyle="1" w:styleId="Normal12HangingChar">
    <w:name w:val="Normal12Hanging Char"/>
    <w:link w:val="Normal12Hanging"/>
    <w:rsid w:val="00A56705"/>
    <w:rPr>
      <w:snapToGrid w:val="0"/>
      <w:sz w:val="24"/>
      <w:lang w:val="pl-PL"/>
    </w:rPr>
  </w:style>
  <w:style w:type="paragraph" w:customStyle="1" w:styleId="EPFooter2">
    <w:name w:val="EPFooter2"/>
    <w:basedOn w:val="Normal"/>
    <w:next w:val="Normal"/>
    <w:rsid w:val="00DA362B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EPFooter">
    <w:name w:val="EPFooter"/>
    <w:basedOn w:val="Normal"/>
    <w:rsid w:val="00DA362B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character" w:customStyle="1" w:styleId="Hyperlink1">
    <w:name w:val="Hyperlink1"/>
    <w:basedOn w:val="DefaultParagraphFont"/>
    <w:uiPriority w:val="99"/>
    <w:unhideWhenUsed/>
    <w:rsid w:val="00DA362B"/>
    <w:rPr>
      <w:color w:val="0563C1"/>
      <w:u w:val="single"/>
    </w:rPr>
  </w:style>
  <w:style w:type="paragraph" w:styleId="Footer">
    <w:name w:val="footer"/>
    <w:basedOn w:val="Normal"/>
    <w:link w:val="FooterChar"/>
    <w:rsid w:val="00DA362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DA362B"/>
    <w:rPr>
      <w:sz w:val="24"/>
      <w:lang w:val="pl-PL"/>
    </w:rPr>
  </w:style>
  <w:style w:type="character" w:styleId="Hyperlink">
    <w:name w:val="Hyperlink"/>
    <w:basedOn w:val="DefaultParagraphFont"/>
    <w:rsid w:val="00DA362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3638B-3BDB-408A-AEAA-BCE6197A2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282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ZALESKI Tomasz</dc:creator>
  <cp:keywords/>
  <cp:lastModifiedBy>BOZYK-MAZURENKO Agnieszka</cp:lastModifiedBy>
  <cp:revision>2</cp:revision>
  <cp:lastPrinted>2004-11-19T15:42:00Z</cp:lastPrinted>
  <dcterms:created xsi:type="dcterms:W3CDTF">2026-04-15T08:54:00Z</dcterms:created>
  <dcterms:modified xsi:type="dcterms:W3CDTF">2026-04-15T08:54:00Z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PL</vt:lpwstr>
  </property>
  <property fmtid="{D5CDD505-2E9C-101B-9397-08002B2CF9AE}" pid="3" name="&lt;FdR&gt;">
    <vt:lpwstr>P10_TA(2026)0025_</vt:lpwstr>
  </property>
  <property fmtid="{D5CDD505-2E9C-101B-9397-08002B2CF9AE}" pid="4" name="&lt;Type&gt;">
    <vt:lpwstr>RR</vt:lpwstr>
  </property>
</Properties>
</file>