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175C" w14:paraId="3ABFA4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1D70E5" w14:textId="77777777" w:rsidR="00751A4A" w:rsidRPr="00F6175C" w:rsidRDefault="00F636F4" w:rsidP="0010095E">
            <w:pPr>
              <w:pStyle w:val="EPName"/>
            </w:pPr>
            <w:r w:rsidRPr="00F6175C">
              <w:t>Evropský parlament</w:t>
            </w:r>
          </w:p>
          <w:p w14:paraId="1980B472" w14:textId="77777777" w:rsidR="00751A4A" w:rsidRPr="00F617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175C">
              <w:t>2024</w:t>
            </w:r>
            <w:r w:rsidR="00817416" w:rsidRPr="00F6175C">
              <w:t>-202</w:t>
            </w:r>
            <w:r w:rsidRPr="00F6175C">
              <w:t>9</w:t>
            </w:r>
          </w:p>
        </w:tc>
        <w:tc>
          <w:tcPr>
            <w:tcW w:w="2268" w:type="dxa"/>
            <w:shd w:val="clear" w:color="auto" w:fill="auto"/>
          </w:tcPr>
          <w:p w14:paraId="799741AE" w14:textId="77777777" w:rsidR="00751A4A" w:rsidRPr="00F6175C" w:rsidRDefault="00187494" w:rsidP="0010095E">
            <w:pPr>
              <w:pStyle w:val="EPLogo"/>
            </w:pPr>
            <w:r w:rsidRPr="00F6175C">
              <w:rPr>
                <w:noProof/>
                <w:lang w:eastAsia="ja-JP"/>
              </w:rPr>
              <w:drawing>
                <wp:inline distT="0" distB="0" distL="0" distR="0" wp14:anchorId="46A5114E" wp14:editId="4595A9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1AE896" w14:textId="77777777" w:rsidR="00D058B8" w:rsidRPr="00F6175C" w:rsidRDefault="00D058B8" w:rsidP="004C5D52">
      <w:pPr>
        <w:pStyle w:val="LineTop"/>
      </w:pPr>
    </w:p>
    <w:p w14:paraId="54599C41" w14:textId="77777777" w:rsidR="00680577" w:rsidRPr="00F6175C" w:rsidRDefault="00F636F4" w:rsidP="00680577">
      <w:pPr>
        <w:pStyle w:val="EPBodyTA1"/>
      </w:pPr>
      <w:r w:rsidRPr="00F6175C">
        <w:t>PŘIJATÉ TEXTY</w:t>
      </w:r>
    </w:p>
    <w:p w14:paraId="0CCC5AAF" w14:textId="77777777" w:rsidR="00D058B8" w:rsidRPr="00F6175C" w:rsidRDefault="00D058B8" w:rsidP="00D058B8">
      <w:pPr>
        <w:pStyle w:val="LineBottom"/>
      </w:pPr>
    </w:p>
    <w:p w14:paraId="16BFA2B9" w14:textId="18C6B394" w:rsidR="00F636F4" w:rsidRPr="00F6175C" w:rsidRDefault="00F636F4" w:rsidP="00F636F4">
      <w:pPr>
        <w:pStyle w:val="ATHeading1"/>
      </w:pPr>
      <w:bookmarkStart w:id="0" w:name="TANumber"/>
      <w:r w:rsidRPr="00F6175C">
        <w:t>P10_TA(2026)00</w:t>
      </w:r>
      <w:r w:rsidR="00C83233">
        <w:t>26</w:t>
      </w:r>
      <w:bookmarkEnd w:id="0"/>
    </w:p>
    <w:p w14:paraId="50D2610F" w14:textId="77777777" w:rsidR="00F636F4" w:rsidRPr="00F6175C" w:rsidRDefault="00F636F4" w:rsidP="00F636F4">
      <w:pPr>
        <w:pStyle w:val="ATHeading2"/>
      </w:pPr>
      <w:bookmarkStart w:id="1" w:name="title"/>
      <w:r w:rsidRPr="00F6175C">
        <w:t>Uplatňování pojmu „bezpečná třetí země“</w:t>
      </w:r>
      <w:bookmarkEnd w:id="1"/>
    </w:p>
    <w:p w14:paraId="31E24BB9" w14:textId="77777777" w:rsidR="00F636F4" w:rsidRPr="00F6175C" w:rsidRDefault="00F636F4" w:rsidP="00F636F4">
      <w:pPr>
        <w:rPr>
          <w:i/>
          <w:vanish/>
        </w:rPr>
      </w:pPr>
      <w:r w:rsidRPr="00F6175C">
        <w:rPr>
          <w:i/>
        </w:rPr>
        <w:fldChar w:fldCharType="begin"/>
      </w:r>
      <w:r w:rsidRPr="00F6175C">
        <w:rPr>
          <w:i/>
        </w:rPr>
        <w:instrText xml:space="preserve"> TC"(</w:instrText>
      </w:r>
      <w:bookmarkStart w:id="2" w:name="DocNumber"/>
      <w:r w:rsidRPr="00F6175C">
        <w:rPr>
          <w:i/>
        </w:rPr>
        <w:instrText>A10-0255/2025</w:instrText>
      </w:r>
      <w:bookmarkEnd w:id="2"/>
      <w:r w:rsidRPr="00F6175C">
        <w:rPr>
          <w:i/>
        </w:rPr>
        <w:instrText xml:space="preserve"> - Zpravodajka: Lena Düpont)"\l3 \n&gt; \* MERGEFORMAT </w:instrText>
      </w:r>
      <w:r w:rsidRPr="00F6175C">
        <w:rPr>
          <w:i/>
        </w:rPr>
        <w:fldChar w:fldCharType="end"/>
      </w:r>
    </w:p>
    <w:p w14:paraId="517FD8CA" w14:textId="77777777" w:rsidR="00F636F4" w:rsidRPr="00F6175C" w:rsidRDefault="00F636F4" w:rsidP="00F636F4">
      <w:pPr>
        <w:rPr>
          <w:vanish/>
        </w:rPr>
      </w:pPr>
      <w:bookmarkStart w:id="3" w:name="Commission"/>
      <w:r w:rsidRPr="00F6175C">
        <w:rPr>
          <w:vanish/>
        </w:rPr>
        <w:t>Výbor pro občanské svobody, spravedlnost a vnitřní věci</w:t>
      </w:r>
      <w:bookmarkEnd w:id="3"/>
    </w:p>
    <w:p w14:paraId="30AC9C65" w14:textId="77777777" w:rsidR="00F636F4" w:rsidRPr="00F6175C" w:rsidRDefault="00F636F4" w:rsidP="00F636F4">
      <w:pPr>
        <w:rPr>
          <w:vanish/>
        </w:rPr>
      </w:pPr>
      <w:bookmarkStart w:id="4" w:name="PE"/>
      <w:r w:rsidRPr="00F6175C">
        <w:rPr>
          <w:vanish/>
        </w:rPr>
        <w:t>PE778.391</w:t>
      </w:r>
      <w:bookmarkEnd w:id="4"/>
    </w:p>
    <w:p w14:paraId="68F88E74" w14:textId="77777777" w:rsidR="00F636F4" w:rsidRPr="00F6175C" w:rsidRDefault="00F636F4" w:rsidP="00F636F4">
      <w:pPr>
        <w:pStyle w:val="ATHeading3"/>
      </w:pPr>
      <w:bookmarkStart w:id="5" w:name="Sujet"/>
      <w:r w:rsidRPr="00F6175C">
        <w:t>Legislativní usnesení Evropského parlamentu ze dne 10. února 2026 o návrhu nařízení Evropského parlamentu a Rady, kterým se mění nařízení (EU) 2024/1348, pokud jde o uplatňování pojmu „bezpečná třetí země“</w:t>
      </w:r>
      <w:bookmarkEnd w:id="5"/>
      <w:r w:rsidRPr="00F6175C">
        <w:t xml:space="preserve"> </w:t>
      </w:r>
      <w:bookmarkStart w:id="6" w:name="References"/>
      <w:r w:rsidRPr="00F6175C">
        <w:t>(</w:t>
      </w:r>
      <w:proofErr w:type="gramStart"/>
      <w:r w:rsidRPr="00F6175C">
        <w:t>COM(</w:t>
      </w:r>
      <w:proofErr w:type="gramEnd"/>
      <w:r w:rsidRPr="00F6175C">
        <w:t>2025)0259 – C10-0088/2025 – 2025/0132(COD))</w:t>
      </w:r>
      <w:bookmarkEnd w:id="6"/>
    </w:p>
    <w:p w14:paraId="2DEFA326" w14:textId="77777777" w:rsidR="00AE536B" w:rsidRPr="00F6175C" w:rsidRDefault="00AE536B" w:rsidP="00AE536B">
      <w:pPr>
        <w:pStyle w:val="NormalBold"/>
      </w:pPr>
      <w:r w:rsidRPr="00F6175C">
        <w:t>(Řádný legislativní postup: první čtení)</w:t>
      </w:r>
    </w:p>
    <w:p w14:paraId="5D52A306" w14:textId="77777777" w:rsidR="00AE536B" w:rsidRPr="00F6175C" w:rsidRDefault="00AE536B" w:rsidP="00AE536B">
      <w:pPr>
        <w:pStyle w:val="EPComma"/>
      </w:pPr>
      <w:r w:rsidRPr="00F6175C">
        <w:rPr>
          <w:i/>
        </w:rPr>
        <w:t>Evropský parlament</w:t>
      </w:r>
      <w:r w:rsidRPr="00F6175C">
        <w:t>,</w:t>
      </w:r>
    </w:p>
    <w:p w14:paraId="4644FC30" w14:textId="77777777" w:rsidR="00AE536B" w:rsidRPr="00F6175C" w:rsidRDefault="00AE536B" w:rsidP="00AE536B">
      <w:pPr>
        <w:pStyle w:val="NormalHanging12a"/>
      </w:pPr>
      <w:r w:rsidRPr="00F6175C">
        <w:t>–</w:t>
      </w:r>
      <w:r w:rsidRPr="00F6175C">
        <w:tab/>
        <w:t>s ohledem na návrh Komise předložený Evropskému parlamentu a Radě (</w:t>
      </w:r>
      <w:proofErr w:type="gramStart"/>
      <w:r w:rsidRPr="00F6175C">
        <w:t>COM(</w:t>
      </w:r>
      <w:proofErr w:type="gramEnd"/>
      <w:r w:rsidRPr="00F6175C">
        <w:t>2025)0259),</w:t>
      </w:r>
    </w:p>
    <w:p w14:paraId="5F8BA390" w14:textId="6DF00667" w:rsidR="00AE536B" w:rsidRPr="00F6175C" w:rsidRDefault="00AE536B" w:rsidP="00AE536B">
      <w:pPr>
        <w:pStyle w:val="NormalHanging12a"/>
      </w:pPr>
      <w:r w:rsidRPr="00F6175C">
        <w:t>–</w:t>
      </w:r>
      <w:r w:rsidRPr="00F6175C">
        <w:tab/>
        <w:t>s ohledem na čl. 294 odst. 2 a čl. 78 odst. 2 písm. d) Smlouvy o fungování Evropské unie, v </w:t>
      </w:r>
      <w:proofErr w:type="gramStart"/>
      <w:r w:rsidRPr="00F6175C">
        <w:t>souladu</w:t>
      </w:r>
      <w:proofErr w:type="gramEnd"/>
      <w:r w:rsidRPr="00F6175C">
        <w:t xml:space="preserve"> s</w:t>
      </w:r>
      <w:r w:rsidR="00F6175C">
        <w:t>e</w:t>
      </w:r>
      <w:r w:rsidRPr="00F6175C">
        <w:t> </w:t>
      </w:r>
      <w:r w:rsidR="00F6175C">
        <w:t>kterými</w:t>
      </w:r>
      <w:r w:rsidRPr="00F6175C">
        <w:t xml:space="preserve"> Komise předložila svůj návrh Parlamentu (C10</w:t>
      </w:r>
      <w:r w:rsidRPr="00F6175C">
        <w:noBreakHyphen/>
        <w:t>0088/2025),</w:t>
      </w:r>
    </w:p>
    <w:p w14:paraId="0B0EBB42" w14:textId="77777777" w:rsidR="00AE536B" w:rsidRPr="00F6175C" w:rsidRDefault="00AE536B" w:rsidP="00AE536B">
      <w:pPr>
        <w:pStyle w:val="NormalHanging12a"/>
      </w:pPr>
      <w:r w:rsidRPr="00F6175C">
        <w:t>–</w:t>
      </w:r>
      <w:r w:rsidRPr="00F6175C">
        <w:tab/>
        <w:t>s ohledem na čl. 294 odst. 3 Smlouvy o fungování Evropské unie,</w:t>
      </w:r>
    </w:p>
    <w:p w14:paraId="4F3294B0" w14:textId="64091D40" w:rsidR="00AE536B" w:rsidRDefault="00AE536B" w:rsidP="00D60236">
      <w:pPr>
        <w:pStyle w:val="NormalHanging12a"/>
      </w:pPr>
      <w:r w:rsidRPr="00F6175C">
        <w:t>–</w:t>
      </w:r>
      <w:r w:rsidRPr="00F6175C">
        <w:tab/>
        <w:t>s ohledem na stanovisko Evropského hospodářského a sociálního výboru ze dne 23.</w:t>
      </w:r>
      <w:r w:rsidR="00F6175C" w:rsidRPr="00F6175C">
        <w:t> </w:t>
      </w:r>
      <w:r w:rsidRPr="00F6175C">
        <w:t>října 2025</w:t>
      </w:r>
      <w:r w:rsidRPr="00F6175C">
        <w:rPr>
          <w:rStyle w:val="FootnoteReference"/>
        </w:rPr>
        <w:footnoteReference w:id="1"/>
      </w:r>
      <w:r w:rsidRPr="00F6175C">
        <w:t>,</w:t>
      </w:r>
    </w:p>
    <w:p w14:paraId="5417E43A" w14:textId="68495CC4" w:rsidR="00D60236" w:rsidRPr="00F6175C" w:rsidRDefault="00D60236" w:rsidP="002F35EC">
      <w:pPr>
        <w:pStyle w:val="NormalHanging12a"/>
        <w:numPr>
          <w:ilvl w:val="0"/>
          <w:numId w:val="45"/>
        </w:numPr>
        <w:ind w:left="567" w:hanging="567"/>
      </w:pPr>
      <w:r w:rsidRPr="00D60236">
        <w:t xml:space="preserve">s ohledem na předběžnou dohodu přijatou příslušným výborem podle čl. 75 odst. 4 jednacího řádu a s ohledem na to, že se zástupce Rady dopisem ze dne </w:t>
      </w:r>
      <w:r>
        <w:t>19</w:t>
      </w:r>
      <w:r w:rsidRPr="00D60236">
        <w:t xml:space="preserve">. </w:t>
      </w:r>
      <w:r>
        <w:t>prosince</w:t>
      </w:r>
      <w:r w:rsidRPr="00D60236">
        <w:t xml:space="preserve"> 2025 zavázal schválit postoj Parlamentu v souladu s čl. 294 odst. 4 Smlouvy o</w:t>
      </w:r>
      <w:r w:rsidR="00D4488B" w:rsidRPr="00F6175C">
        <w:t> </w:t>
      </w:r>
      <w:r w:rsidRPr="00D60236">
        <w:t>fungování Evropské unie,</w:t>
      </w:r>
    </w:p>
    <w:p w14:paraId="627F093D" w14:textId="77777777" w:rsidR="00AE536B" w:rsidRPr="00F6175C" w:rsidRDefault="00AE536B" w:rsidP="00D60236">
      <w:pPr>
        <w:pStyle w:val="NormalHanging12a"/>
      </w:pPr>
      <w:r w:rsidRPr="00F6175C">
        <w:t>–</w:t>
      </w:r>
      <w:r w:rsidRPr="00F6175C">
        <w:tab/>
        <w:t>s ohledem na článek 60 jednacího řádu,</w:t>
      </w:r>
    </w:p>
    <w:p w14:paraId="3E92592E" w14:textId="77777777" w:rsidR="00AE536B" w:rsidRPr="00F6175C" w:rsidRDefault="00AE536B" w:rsidP="00D60236">
      <w:pPr>
        <w:pStyle w:val="NormalHanging12a"/>
      </w:pPr>
      <w:r w:rsidRPr="00F6175C">
        <w:t>–</w:t>
      </w:r>
      <w:r w:rsidRPr="00F6175C">
        <w:tab/>
        <w:t>s ohledem na zprávu Výboru pro občanské svobody, spravedlnost a vnitřní věci (A10</w:t>
      </w:r>
      <w:r w:rsidRPr="00F6175C">
        <w:noBreakHyphen/>
        <w:t>0255/2025),</w:t>
      </w:r>
    </w:p>
    <w:p w14:paraId="0F740265" w14:textId="77777777" w:rsidR="00AE536B" w:rsidRPr="00F6175C" w:rsidRDefault="00AE536B" w:rsidP="00AE536B">
      <w:pPr>
        <w:pStyle w:val="NormalHanging12a"/>
      </w:pPr>
      <w:r w:rsidRPr="00F6175C">
        <w:t>1.</w:t>
      </w:r>
      <w:r w:rsidRPr="00F6175C">
        <w:tab/>
        <w:t>přijímá níže uvedený postoj v prvním čtení;</w:t>
      </w:r>
    </w:p>
    <w:p w14:paraId="708C9782" w14:textId="77777777" w:rsidR="00AE536B" w:rsidRPr="00F6175C" w:rsidRDefault="00AE536B" w:rsidP="00AE536B">
      <w:pPr>
        <w:pStyle w:val="NormalHanging12a"/>
      </w:pPr>
      <w:r w:rsidRPr="00F6175C">
        <w:t>2.</w:t>
      </w:r>
      <w:r w:rsidRPr="00F6175C">
        <w:tab/>
        <w:t>vyzývá Komisi, aby věc znovu postoupila Parlamentu, jestliže svůj návrh nahradí jiným textem, podstatně jej změní nebo má v úmyslu jej podstatně změnit;</w:t>
      </w:r>
    </w:p>
    <w:p w14:paraId="5C9D469E" w14:textId="186ABE4C" w:rsidR="00AE536B" w:rsidRPr="00F6175C" w:rsidRDefault="00AE536B" w:rsidP="00AE536B">
      <w:pPr>
        <w:pStyle w:val="NormalHanging12a"/>
      </w:pPr>
      <w:r w:rsidRPr="00F6175C">
        <w:t>3.</w:t>
      </w:r>
      <w:r w:rsidRPr="00F6175C">
        <w:tab/>
        <w:t>pověřuje svou předsedkyni, aby předala postoj Parlamentu Radě</w:t>
      </w:r>
      <w:r w:rsidR="00F6175C">
        <w:t xml:space="preserve"> a</w:t>
      </w:r>
      <w:r w:rsidRPr="00F6175C">
        <w:t xml:space="preserve"> Komisi, jakož i vnitrostátním parlamentům.</w:t>
      </w:r>
    </w:p>
    <w:p w14:paraId="18AB06EC" w14:textId="77777777" w:rsidR="00AE536B" w:rsidRPr="00F6175C" w:rsidRDefault="00AE536B" w:rsidP="00AE536B">
      <w:pPr>
        <w:sectPr w:rsidR="00AE536B" w:rsidRPr="00F6175C" w:rsidSect="00F31A8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089F9C" w14:textId="77777777" w:rsidR="00D70B7C" w:rsidRPr="00763275" w:rsidRDefault="00D70B7C" w:rsidP="00D70B7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</w:t>
      </w:r>
      <w:proofErr w:type="gramStart"/>
      <w:r w:rsidRPr="00763275">
        <w:rPr>
          <w:b/>
          <w:bCs/>
          <w:color w:val="000000"/>
        </w:rPr>
        <w:t>COD(</w:t>
      </w:r>
      <w:proofErr w:type="gramEnd"/>
      <w:r w:rsidRPr="00763275">
        <w:rPr>
          <w:b/>
          <w:bCs/>
          <w:color w:val="000000"/>
        </w:rPr>
        <w:t>2025)0</w:t>
      </w:r>
      <w:r>
        <w:rPr>
          <w:b/>
          <w:bCs/>
          <w:color w:val="000000"/>
        </w:rPr>
        <w:t>132</w:t>
      </w:r>
    </w:p>
    <w:p w14:paraId="6C4B363A" w14:textId="2BC58E94" w:rsidR="004C1E8C" w:rsidRDefault="00D70B7C" w:rsidP="004C1E8C">
      <w:pPr>
        <w:rPr>
          <w:rFonts w:eastAsia="Calibri"/>
          <w:b/>
          <w:szCs w:val="24"/>
          <w:lang w:eastAsia="en-US"/>
        </w:rPr>
      </w:pPr>
      <w:r w:rsidRPr="00D70B7C">
        <w:rPr>
          <w:b/>
          <w:bCs/>
        </w:rPr>
        <w:t>Postoj Evropského parlamentu přijatý v prvním čtení dne 1</w:t>
      </w:r>
      <w:r>
        <w:rPr>
          <w:b/>
          <w:bCs/>
        </w:rPr>
        <w:t>0. února</w:t>
      </w:r>
      <w:r w:rsidRPr="00D70B7C">
        <w:rPr>
          <w:b/>
          <w:bCs/>
        </w:rPr>
        <w:t xml:space="preserve"> 202</w:t>
      </w:r>
      <w:r>
        <w:rPr>
          <w:b/>
          <w:bCs/>
        </w:rPr>
        <w:t>6</w:t>
      </w:r>
      <w:r w:rsidRPr="00D70B7C">
        <w:rPr>
          <w:b/>
          <w:bCs/>
        </w:rPr>
        <w:t xml:space="preserve"> k</w:t>
      </w:r>
      <w:r w:rsidR="004C1E8C">
        <w:rPr>
          <w:b/>
          <w:bCs/>
        </w:rPr>
        <w:t> </w:t>
      </w:r>
      <w:r w:rsidRPr="00D70B7C">
        <w:rPr>
          <w:b/>
          <w:bCs/>
        </w:rPr>
        <w:t>přijetí</w:t>
      </w:r>
      <w:r w:rsidR="004C1E8C">
        <w:rPr>
          <w:b/>
          <w:bCs/>
        </w:rPr>
        <w:t xml:space="preserve"> </w:t>
      </w:r>
      <w:r w:rsidR="004C1E8C" w:rsidRPr="004C1E8C">
        <w:rPr>
          <w:rFonts w:eastAsia="Calibri"/>
          <w:b/>
          <w:szCs w:val="24"/>
          <w:lang w:eastAsia="en-US"/>
        </w:rPr>
        <w:t>nařízení Evropského parlamentu a Rady (EU) 2026/...</w:t>
      </w:r>
      <w:r w:rsidR="004C1E8C">
        <w:rPr>
          <w:rFonts w:eastAsia="Calibri"/>
          <w:b/>
          <w:bCs/>
          <w:szCs w:val="24"/>
          <w:lang w:eastAsia="en-US"/>
        </w:rPr>
        <w:t xml:space="preserve">, </w:t>
      </w:r>
      <w:r w:rsidR="004C1E8C" w:rsidRPr="004C1E8C">
        <w:rPr>
          <w:rFonts w:eastAsia="Calibri"/>
          <w:b/>
          <w:szCs w:val="24"/>
          <w:lang w:eastAsia="en-US"/>
        </w:rPr>
        <w:t>kterým se mění nařízení (EU) 2024/1348, pokud jde o uplatňování pojmu bezpečná třetí země</w:t>
      </w:r>
    </w:p>
    <w:p w14:paraId="564D0D8F" w14:textId="2CD64347" w:rsidR="001B403A" w:rsidRPr="001B403A" w:rsidRDefault="001B403A" w:rsidP="001B403A">
      <w:pPr>
        <w:widowControl/>
        <w:spacing w:before="360"/>
        <w:jc w:val="both"/>
        <w:rPr>
          <w:i/>
          <w:szCs w:val="24"/>
        </w:rPr>
      </w:pPr>
      <w:r w:rsidRPr="001B403A">
        <w:rPr>
          <w:i/>
          <w:szCs w:val="24"/>
        </w:rPr>
        <w:t>(Vzhledem k tomu, že bylo dosaženo dohody mezi Parlamentem a Radou, postoj Parlamentu odpovídá konečnému znění legislativního aktu, nařízení (EU) 2026/</w:t>
      </w:r>
      <w:r>
        <w:rPr>
          <w:i/>
          <w:szCs w:val="24"/>
        </w:rPr>
        <w:t>4</w:t>
      </w:r>
      <w:r w:rsidRPr="001B403A">
        <w:rPr>
          <w:i/>
          <w:szCs w:val="24"/>
        </w:rPr>
        <w:t>6</w:t>
      </w:r>
      <w:r>
        <w:rPr>
          <w:i/>
          <w:szCs w:val="24"/>
        </w:rPr>
        <w:t>3</w:t>
      </w:r>
      <w:r w:rsidRPr="001B403A">
        <w:rPr>
          <w:i/>
          <w:szCs w:val="24"/>
        </w:rPr>
        <w:t>.)</w:t>
      </w:r>
    </w:p>
    <w:p w14:paraId="17E8FF3A" w14:textId="77777777" w:rsidR="001B403A" w:rsidRPr="004C1E8C" w:rsidRDefault="001B403A" w:rsidP="004C1E8C">
      <w:pPr>
        <w:rPr>
          <w:rFonts w:eastAsia="Calibri"/>
          <w:b/>
          <w:bCs/>
          <w:szCs w:val="24"/>
          <w:lang w:eastAsia="en-US"/>
        </w:rPr>
      </w:pPr>
    </w:p>
    <w:sectPr w:rsidR="001B403A" w:rsidRPr="004C1E8C" w:rsidSect="00F31A8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9049" w14:textId="77777777" w:rsidR="00F636F4" w:rsidRPr="00F31A8C" w:rsidRDefault="00F636F4">
      <w:r w:rsidRPr="00F31A8C">
        <w:separator/>
      </w:r>
    </w:p>
  </w:endnote>
  <w:endnote w:type="continuationSeparator" w:id="0">
    <w:p w14:paraId="02425DE9" w14:textId="77777777" w:rsidR="00F636F4" w:rsidRPr="00F31A8C" w:rsidRDefault="00F636F4">
      <w:r w:rsidRPr="00F31A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7DC39" w14:textId="77777777" w:rsidR="00AE536B" w:rsidRPr="00F31A8C" w:rsidRDefault="00AE536B" w:rsidP="00DA27A9">
    <w:pPr>
      <w:pStyle w:val="EPFooter"/>
    </w:pPr>
    <w:r w:rsidRPr="00F31A8C">
      <w:t>PE</w:t>
    </w:r>
    <w:r w:rsidRPr="00F31A8C">
      <w:rPr>
        <w:rStyle w:val="HideTWBExt"/>
      </w:rPr>
      <w:t>&lt;NoPE&gt;</w:t>
    </w:r>
    <w:r w:rsidRPr="00F31A8C">
      <w:t>778.391</w:t>
    </w:r>
    <w:r w:rsidRPr="00F31A8C">
      <w:rPr>
        <w:rStyle w:val="HideTWBExt"/>
      </w:rPr>
      <w:t>&lt;/NoPE&gt;&lt;Version&gt;</w:t>
    </w:r>
    <w:r w:rsidRPr="00F31A8C">
      <w:t>v02-00</w:t>
    </w:r>
    <w:r w:rsidRPr="00F31A8C">
      <w:rPr>
        <w:rStyle w:val="HideTWBExt"/>
      </w:rPr>
      <w:t>&lt;/Version&gt;</w:t>
    </w:r>
    <w:r w:rsidRPr="00F31A8C">
      <w:tab/>
    </w:r>
    <w:r w:rsidRPr="00F31A8C">
      <w:fldChar w:fldCharType="begin"/>
    </w:r>
    <w:r w:rsidRPr="00F31A8C">
      <w:instrText xml:space="preserve"> PAGE  \* MERGEFORMAT </w:instrText>
    </w:r>
    <w:r w:rsidRPr="00F31A8C">
      <w:fldChar w:fldCharType="separate"/>
    </w:r>
    <w:r w:rsidRPr="00F31A8C">
      <w:rPr>
        <w:noProof/>
      </w:rPr>
      <w:t>2</w:t>
    </w:r>
    <w:r w:rsidRPr="00F31A8C">
      <w:fldChar w:fldCharType="end"/>
    </w:r>
    <w:r w:rsidRPr="00F31A8C">
      <w:t>/</w:t>
    </w:r>
    <w:fldSimple w:instr=" NUMPAGES  \* MERGEFORMAT ">
      <w:r w:rsidRPr="00F31A8C">
        <w:rPr>
          <w:noProof/>
        </w:rPr>
        <w:t>3</w:t>
      </w:r>
    </w:fldSimple>
    <w:r w:rsidRPr="00F31A8C">
      <w:tab/>
    </w:r>
    <w:r w:rsidRPr="00F31A8C">
      <w:rPr>
        <w:rStyle w:val="HideTWBExt"/>
      </w:rPr>
      <w:t>&lt;PathFdR&gt;</w:t>
    </w:r>
    <w:r w:rsidRPr="00F31A8C">
      <w:t>RR\1333853CS.docx</w:t>
    </w:r>
    <w:r w:rsidRPr="00F31A8C">
      <w:rPr>
        <w:rStyle w:val="HideTWBExt"/>
      </w:rPr>
      <w:t>&lt;/PathFdR&gt;</w:t>
    </w:r>
  </w:p>
  <w:p w14:paraId="70283EA3" w14:textId="77777777" w:rsidR="00AE536B" w:rsidRPr="00F31A8C" w:rsidRDefault="00AE536B" w:rsidP="00DA27A9">
    <w:pPr>
      <w:pStyle w:val="EPFooter2"/>
    </w:pPr>
    <w:r w:rsidRPr="00F31A8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CF2C" w14:textId="77777777" w:rsidR="00AE536B" w:rsidRPr="00F31A8C" w:rsidRDefault="00AE536B" w:rsidP="00DA27A9">
    <w:pPr>
      <w:pStyle w:val="EPFooter"/>
    </w:pPr>
    <w:r w:rsidRPr="00F31A8C">
      <w:rPr>
        <w:rStyle w:val="HideTWBExt"/>
      </w:rPr>
      <w:t>&lt;PathFdR&gt;</w:t>
    </w:r>
    <w:r w:rsidRPr="00F31A8C">
      <w:t>RR\1333853CS.docx</w:t>
    </w:r>
    <w:r w:rsidRPr="00F31A8C">
      <w:rPr>
        <w:rStyle w:val="HideTWBExt"/>
      </w:rPr>
      <w:t>&lt;/PathFdR&gt;</w:t>
    </w:r>
    <w:r w:rsidRPr="00F31A8C">
      <w:tab/>
    </w:r>
    <w:r w:rsidRPr="00F31A8C">
      <w:tab/>
      <w:t>PE</w:t>
    </w:r>
    <w:r w:rsidRPr="00F31A8C">
      <w:rPr>
        <w:rStyle w:val="HideTWBExt"/>
      </w:rPr>
      <w:t>&lt;NoPE&gt;</w:t>
    </w:r>
    <w:r w:rsidRPr="00F31A8C">
      <w:t>778.391</w:t>
    </w:r>
    <w:r w:rsidRPr="00F31A8C">
      <w:rPr>
        <w:rStyle w:val="HideTWBExt"/>
      </w:rPr>
      <w:t>&lt;/NoPE&gt;&lt;Version&gt;</w:t>
    </w:r>
    <w:r w:rsidRPr="00F31A8C">
      <w:t>v02-00</w:t>
    </w:r>
    <w:r w:rsidRPr="00F31A8C">
      <w:rPr>
        <w:rStyle w:val="HideTWBExt"/>
      </w:rPr>
      <w:t>&lt;/Version&gt;</w:t>
    </w:r>
  </w:p>
  <w:p w14:paraId="2C61C2F2" w14:textId="77777777" w:rsidR="00AE536B" w:rsidRPr="00F31A8C" w:rsidRDefault="00AE536B" w:rsidP="00DA27A9">
    <w:pPr>
      <w:pStyle w:val="EPFooter2"/>
    </w:pPr>
    <w:r w:rsidRPr="00F31A8C">
      <w:t>CS</w:t>
    </w:r>
    <w:r w:rsidRPr="00F31A8C">
      <w:tab/>
    </w:r>
    <w:r w:rsidRPr="00F31A8C">
      <w:rPr>
        <w:b w:val="0"/>
        <w:i/>
        <w:color w:val="C0C0C0"/>
        <w:sz w:val="22"/>
      </w:rPr>
      <w:t>Jednotná v rozmanitosti</w:t>
    </w:r>
    <w:r w:rsidRPr="00F31A8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B1932" w14:textId="77777777" w:rsidR="00064002" w:rsidRPr="00F31A8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3A12" w14:textId="77777777" w:rsidR="00064002" w:rsidRPr="00F31A8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CBE1C" w14:textId="77777777" w:rsidR="00064002" w:rsidRPr="00F31A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F5179" w14:textId="77777777" w:rsidR="00F636F4" w:rsidRPr="00F31A8C" w:rsidRDefault="00F636F4">
      <w:r w:rsidRPr="00F31A8C">
        <w:separator/>
      </w:r>
    </w:p>
  </w:footnote>
  <w:footnote w:type="continuationSeparator" w:id="0">
    <w:p w14:paraId="30D1392D" w14:textId="77777777" w:rsidR="00F636F4" w:rsidRPr="00F31A8C" w:rsidRDefault="00F636F4">
      <w:r w:rsidRPr="00F31A8C">
        <w:continuationSeparator/>
      </w:r>
    </w:p>
  </w:footnote>
  <w:footnote w:id="1">
    <w:p w14:paraId="7CD439C5" w14:textId="521316B7" w:rsidR="00AE536B" w:rsidRPr="00F31A8C" w:rsidRDefault="00AE536B" w:rsidP="00F6175C">
      <w:pPr>
        <w:pStyle w:val="FootnoteText"/>
        <w:spacing w:before="120"/>
        <w:ind w:left="567" w:hanging="567"/>
        <w:rPr>
          <w:sz w:val="24"/>
          <w:lang w:val="cs-CZ"/>
        </w:rPr>
      </w:pPr>
      <w:r w:rsidRPr="00F31A8C">
        <w:rPr>
          <w:rStyle w:val="FootnoteReference"/>
          <w:sz w:val="24"/>
          <w:szCs w:val="24"/>
          <w:lang w:val="cs-CZ"/>
        </w:rPr>
        <w:footnoteRef/>
      </w:r>
      <w:r w:rsidR="00F31A8C" w:rsidRPr="00F31A8C">
        <w:rPr>
          <w:sz w:val="24"/>
          <w:lang w:val="cs-CZ"/>
        </w:rPr>
        <w:t xml:space="preserve"> </w:t>
      </w:r>
      <w:r w:rsidR="00F31A8C" w:rsidRPr="00F31A8C">
        <w:rPr>
          <w:sz w:val="24"/>
          <w:lang w:val="cs-CZ"/>
        </w:rPr>
        <w:tab/>
      </w:r>
      <w:r w:rsidRPr="00F31A8C">
        <w:rPr>
          <w:sz w:val="24"/>
          <w:lang w:val="cs-CZ"/>
        </w:rPr>
        <w:t>Dosud nezveřejněn</w:t>
      </w:r>
      <w:r w:rsidR="0039657F">
        <w:rPr>
          <w:sz w:val="24"/>
          <w:lang w:val="cs-CZ"/>
        </w:rPr>
        <w:t>ý</w:t>
      </w:r>
      <w:r w:rsidRPr="00F31A8C">
        <w:rPr>
          <w:sz w:val="24"/>
          <w:lang w:val="cs-CZ"/>
        </w:rPr>
        <w:t xml:space="preserve"> v Úředním věstníku</w:t>
      </w:r>
      <w:r w:rsidR="00F6175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E50A" w14:textId="77777777" w:rsidR="00064002" w:rsidRPr="00F31A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6AA3" w14:textId="77777777" w:rsidR="00064002" w:rsidRPr="00F31A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2AAA" w14:textId="77777777" w:rsidR="00064002" w:rsidRPr="00F31A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6D1FCA"/>
    <w:multiLevelType w:val="hybridMultilevel"/>
    <w:tmpl w:val="7B4CB036"/>
    <w:lvl w:ilvl="0" w:tplc="396EBB50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5940851">
    <w:abstractNumId w:val="9"/>
  </w:num>
  <w:num w:numId="2" w16cid:durableId="1603298638">
    <w:abstractNumId w:val="9"/>
  </w:num>
  <w:num w:numId="3" w16cid:durableId="1903709190">
    <w:abstractNumId w:val="7"/>
  </w:num>
  <w:num w:numId="4" w16cid:durableId="1565675592">
    <w:abstractNumId w:val="7"/>
  </w:num>
  <w:num w:numId="5" w16cid:durableId="1259559935">
    <w:abstractNumId w:val="6"/>
  </w:num>
  <w:num w:numId="6" w16cid:durableId="2054112815">
    <w:abstractNumId w:val="6"/>
  </w:num>
  <w:num w:numId="7" w16cid:durableId="550384423">
    <w:abstractNumId w:val="5"/>
  </w:num>
  <w:num w:numId="8" w16cid:durableId="961034571">
    <w:abstractNumId w:val="5"/>
  </w:num>
  <w:num w:numId="9" w16cid:durableId="1609699480">
    <w:abstractNumId w:val="4"/>
  </w:num>
  <w:num w:numId="10" w16cid:durableId="1366102163">
    <w:abstractNumId w:val="4"/>
  </w:num>
  <w:num w:numId="11" w16cid:durableId="464466614">
    <w:abstractNumId w:val="8"/>
  </w:num>
  <w:num w:numId="12" w16cid:durableId="1151217896">
    <w:abstractNumId w:val="8"/>
  </w:num>
  <w:num w:numId="13" w16cid:durableId="33359479">
    <w:abstractNumId w:val="3"/>
  </w:num>
  <w:num w:numId="14" w16cid:durableId="58095096">
    <w:abstractNumId w:val="3"/>
  </w:num>
  <w:num w:numId="15" w16cid:durableId="176040122">
    <w:abstractNumId w:val="2"/>
  </w:num>
  <w:num w:numId="16" w16cid:durableId="2006855704">
    <w:abstractNumId w:val="2"/>
  </w:num>
  <w:num w:numId="17" w16cid:durableId="1891072755">
    <w:abstractNumId w:val="1"/>
  </w:num>
  <w:num w:numId="18" w16cid:durableId="974219644">
    <w:abstractNumId w:val="1"/>
  </w:num>
  <w:num w:numId="19" w16cid:durableId="1092893364">
    <w:abstractNumId w:val="0"/>
  </w:num>
  <w:num w:numId="20" w16cid:durableId="387806303">
    <w:abstractNumId w:val="0"/>
  </w:num>
  <w:num w:numId="21" w16cid:durableId="709653212">
    <w:abstractNumId w:val="9"/>
  </w:num>
  <w:num w:numId="22" w16cid:durableId="2110927050">
    <w:abstractNumId w:val="7"/>
  </w:num>
  <w:num w:numId="23" w16cid:durableId="1933968733">
    <w:abstractNumId w:val="6"/>
  </w:num>
  <w:num w:numId="24" w16cid:durableId="1609116496">
    <w:abstractNumId w:val="5"/>
  </w:num>
  <w:num w:numId="25" w16cid:durableId="1179076211">
    <w:abstractNumId w:val="4"/>
  </w:num>
  <w:num w:numId="26" w16cid:durableId="1764760104">
    <w:abstractNumId w:val="8"/>
  </w:num>
  <w:num w:numId="27" w16cid:durableId="1144933084">
    <w:abstractNumId w:val="3"/>
  </w:num>
  <w:num w:numId="28" w16cid:durableId="1829706530">
    <w:abstractNumId w:val="2"/>
  </w:num>
  <w:num w:numId="29" w16cid:durableId="421684652">
    <w:abstractNumId w:val="1"/>
  </w:num>
  <w:num w:numId="30" w16cid:durableId="943805445">
    <w:abstractNumId w:val="0"/>
  </w:num>
  <w:num w:numId="31" w16cid:durableId="1755318452">
    <w:abstractNumId w:val="9"/>
  </w:num>
  <w:num w:numId="32" w16cid:durableId="1102263031">
    <w:abstractNumId w:val="7"/>
  </w:num>
  <w:num w:numId="33" w16cid:durableId="2010863104">
    <w:abstractNumId w:val="6"/>
  </w:num>
  <w:num w:numId="34" w16cid:durableId="217129122">
    <w:abstractNumId w:val="5"/>
  </w:num>
  <w:num w:numId="35" w16cid:durableId="687413274">
    <w:abstractNumId w:val="4"/>
  </w:num>
  <w:num w:numId="36" w16cid:durableId="1596282156">
    <w:abstractNumId w:val="8"/>
  </w:num>
  <w:num w:numId="37" w16cid:durableId="1824850563">
    <w:abstractNumId w:val="3"/>
  </w:num>
  <w:num w:numId="38" w16cid:durableId="437678961">
    <w:abstractNumId w:val="2"/>
  </w:num>
  <w:num w:numId="39" w16cid:durableId="1629505998">
    <w:abstractNumId w:val="1"/>
  </w:num>
  <w:num w:numId="40" w16cid:durableId="1025987030">
    <w:abstractNumId w:val="0"/>
  </w:num>
  <w:num w:numId="41" w16cid:durableId="50082399">
    <w:abstractNumId w:val="10"/>
  </w:num>
  <w:num w:numId="42" w16cid:durableId="1659764835">
    <w:abstractNumId w:val="10"/>
  </w:num>
  <w:num w:numId="43" w16cid:durableId="1325626405">
    <w:abstractNumId w:val="10"/>
  </w:num>
  <w:num w:numId="44" w16cid:durableId="1281497112">
    <w:abstractNumId w:val="12"/>
  </w:num>
  <w:num w:numId="45" w16cid:durableId="21202941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5/2025"/>
    <w:docVar w:name="dvlangue" w:val="CS"/>
    <w:docVar w:name="dvnumam" w:val="12"/>
    <w:docVar w:name="dvpe" w:val="778.391"/>
    <w:docVar w:name="dvrapporteur" w:val="Zpravodajka: "/>
    <w:docVar w:name="dvstar" w:val="***I"/>
    <w:docVar w:name="dvtitre" w:val="Legislativní usnesení Evropského parlamentu ze dne 10. února 2026 o návrhu nařízení Evropského parlamentu a Rady, kterým se mění nařízení (EU) 2024/1348, pokud jde o uplatňování pojmu „bezpečná třetí země“(COM(2025)0259 – C10-0088/2025 – 2025/0132(COD))"/>
  </w:docVars>
  <w:rsids>
    <w:rsidRoot w:val="00F636F4"/>
    <w:rsid w:val="00002272"/>
    <w:rsid w:val="00064002"/>
    <w:rsid w:val="000677B9"/>
    <w:rsid w:val="000831BA"/>
    <w:rsid w:val="000A19A3"/>
    <w:rsid w:val="000A42CC"/>
    <w:rsid w:val="000E7DD9"/>
    <w:rsid w:val="0010095E"/>
    <w:rsid w:val="00125B37"/>
    <w:rsid w:val="00187494"/>
    <w:rsid w:val="001B403A"/>
    <w:rsid w:val="001F32AE"/>
    <w:rsid w:val="002767FF"/>
    <w:rsid w:val="002B18FE"/>
    <w:rsid w:val="002B5493"/>
    <w:rsid w:val="002F35EC"/>
    <w:rsid w:val="00343214"/>
    <w:rsid w:val="00361C00"/>
    <w:rsid w:val="00371DE2"/>
    <w:rsid w:val="00395FA1"/>
    <w:rsid w:val="0039657F"/>
    <w:rsid w:val="003E15D4"/>
    <w:rsid w:val="00411CCE"/>
    <w:rsid w:val="0041666E"/>
    <w:rsid w:val="00421060"/>
    <w:rsid w:val="00453950"/>
    <w:rsid w:val="00471C19"/>
    <w:rsid w:val="004867E3"/>
    <w:rsid w:val="00494A28"/>
    <w:rsid w:val="004C0004"/>
    <w:rsid w:val="004C1E8C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453"/>
    <w:rsid w:val="007D1690"/>
    <w:rsid w:val="007E22AD"/>
    <w:rsid w:val="00817416"/>
    <w:rsid w:val="00842779"/>
    <w:rsid w:val="00865F67"/>
    <w:rsid w:val="00881A7B"/>
    <w:rsid w:val="008840E5"/>
    <w:rsid w:val="00887B3E"/>
    <w:rsid w:val="0089178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4753"/>
    <w:rsid w:val="00A778C7"/>
    <w:rsid w:val="00AB441E"/>
    <w:rsid w:val="00AB6293"/>
    <w:rsid w:val="00AE0928"/>
    <w:rsid w:val="00AE536B"/>
    <w:rsid w:val="00AF3B82"/>
    <w:rsid w:val="00B12E95"/>
    <w:rsid w:val="00B22876"/>
    <w:rsid w:val="00B558F0"/>
    <w:rsid w:val="00B77E3D"/>
    <w:rsid w:val="00B97ABC"/>
    <w:rsid w:val="00BD48FE"/>
    <w:rsid w:val="00BD7BD8"/>
    <w:rsid w:val="00BE6ADC"/>
    <w:rsid w:val="00C05BFE"/>
    <w:rsid w:val="00C23CD4"/>
    <w:rsid w:val="00C61C0C"/>
    <w:rsid w:val="00C83233"/>
    <w:rsid w:val="00C83CC1"/>
    <w:rsid w:val="00C941CB"/>
    <w:rsid w:val="00CC2357"/>
    <w:rsid w:val="00CD3AA7"/>
    <w:rsid w:val="00CF071A"/>
    <w:rsid w:val="00D058B8"/>
    <w:rsid w:val="00D4488B"/>
    <w:rsid w:val="00D56C11"/>
    <w:rsid w:val="00D60236"/>
    <w:rsid w:val="00D70B7C"/>
    <w:rsid w:val="00D834A0"/>
    <w:rsid w:val="00D872DF"/>
    <w:rsid w:val="00D91E21"/>
    <w:rsid w:val="00DA7601"/>
    <w:rsid w:val="00DA7FCD"/>
    <w:rsid w:val="00E358F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A8C"/>
    <w:rsid w:val="00F5134D"/>
    <w:rsid w:val="00F6175C"/>
    <w:rsid w:val="00F636F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51BFB"/>
  <w15:chartTrackingRefBased/>
  <w15:docId w15:val="{DB6B0D99-FE83-42DC-A72F-5B0B75E81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E53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AE536B"/>
    <w:rPr>
      <w:b/>
    </w:rPr>
  </w:style>
  <w:style w:type="paragraph" w:customStyle="1" w:styleId="NormalHanging12a">
    <w:name w:val="NormalHanging12a"/>
    <w:basedOn w:val="Normal"/>
    <w:rsid w:val="00AE536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E53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E536B"/>
    <w:rPr>
      <w:sz w:val="24"/>
      <w:lang w:val="cs-CZ"/>
    </w:rPr>
  </w:style>
  <w:style w:type="paragraph" w:customStyle="1" w:styleId="AmNumberTabs">
    <w:name w:val="AmNumberTabs"/>
    <w:basedOn w:val="Normal"/>
    <w:rsid w:val="00AE53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E536B"/>
    <w:pPr>
      <w:spacing w:before="240"/>
    </w:pPr>
    <w:rPr>
      <w:b/>
    </w:rPr>
  </w:style>
  <w:style w:type="paragraph" w:customStyle="1" w:styleId="EPFooter">
    <w:name w:val="EPFooter"/>
    <w:basedOn w:val="Normal"/>
    <w:rsid w:val="00AE53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E536B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E536B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AE536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E536B"/>
    <w:rPr>
      <w:b/>
      <w:sz w:val="24"/>
      <w:lang w:val="cs-CZ"/>
    </w:rPr>
  </w:style>
  <w:style w:type="paragraph" w:customStyle="1" w:styleId="ColumnHeading">
    <w:name w:val="ColumnHeading"/>
    <w:basedOn w:val="Normal"/>
    <w:rsid w:val="00AE536B"/>
    <w:pPr>
      <w:spacing w:after="240"/>
      <w:jc w:val="center"/>
    </w:pPr>
    <w:rPr>
      <w:i/>
    </w:rPr>
  </w:style>
  <w:style w:type="paragraph" w:customStyle="1" w:styleId="Olang">
    <w:name w:val="Olang"/>
    <w:rsid w:val="00AE536B"/>
    <w:pPr>
      <w:jc w:val="right"/>
    </w:pPr>
    <w:rPr>
      <w:lang w:val="cs-CZ"/>
    </w:rPr>
  </w:style>
  <w:style w:type="paragraph" w:styleId="Revision">
    <w:name w:val="Revision"/>
    <w:hidden/>
    <w:uiPriority w:val="99"/>
    <w:semiHidden/>
    <w:rsid w:val="00F6175C"/>
    <w:rPr>
      <w:sz w:val="24"/>
      <w:lang w:val="cs-CZ"/>
    </w:rPr>
  </w:style>
  <w:style w:type="paragraph" w:styleId="Footer">
    <w:name w:val="footer"/>
    <w:basedOn w:val="Normal"/>
    <w:link w:val="FooterChar"/>
    <w:rsid w:val="00F617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6175C"/>
    <w:rPr>
      <w:sz w:val="24"/>
      <w:lang w:val="cs-CZ"/>
    </w:rPr>
  </w:style>
  <w:style w:type="character" w:styleId="CommentReference">
    <w:name w:val="annotation reference"/>
    <w:basedOn w:val="DefaultParagraphFont"/>
    <w:rsid w:val="00C83C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3C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83CC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C83C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3CC1"/>
    <w:rPr>
      <w:b/>
      <w:bCs/>
      <w:lang w:val="cs-CZ"/>
    </w:rPr>
  </w:style>
  <w:style w:type="character" w:customStyle="1" w:styleId="Hyperlink1">
    <w:name w:val="Hyperlink1"/>
    <w:basedOn w:val="DefaultParagraphFont"/>
    <w:uiPriority w:val="99"/>
    <w:unhideWhenUsed/>
    <w:rsid w:val="004C1E8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2026-04-13T15:58:00Z</dcterms:created>
  <dcterms:modified xsi:type="dcterms:W3CDTF">2026-04-13T15:58:00Z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P10_TA(2026)0026_</vt:lpwstr>
  </property>
  <property fmtid="{D5CDD505-2E9C-101B-9397-08002B2CF9AE}" pid="4" name="&lt;Type&gt;">
    <vt:lpwstr>RR</vt:lpwstr>
  </property>
</Properties>
</file>