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77A3" w14:paraId="4E981BB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B38DBF" w14:textId="71BC1153" w:rsidR="00751A4A" w:rsidRPr="00FA77A3" w:rsidRDefault="00D9022B" w:rsidP="0010095E">
            <w:pPr>
              <w:pStyle w:val="EPName"/>
            </w:pPr>
            <w:r w:rsidRPr="00FA77A3">
              <w:t>Euroopan parlamentti</w:t>
            </w:r>
          </w:p>
          <w:p w14:paraId="6551A7F6" w14:textId="77777777" w:rsidR="00751A4A" w:rsidRPr="00FA77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77A3">
              <w:t>2024</w:t>
            </w:r>
            <w:r w:rsidR="00817416" w:rsidRPr="00FA77A3">
              <w:t>-202</w:t>
            </w:r>
            <w:r w:rsidRPr="00FA77A3">
              <w:t>9</w:t>
            </w:r>
          </w:p>
        </w:tc>
        <w:tc>
          <w:tcPr>
            <w:tcW w:w="2268" w:type="dxa"/>
            <w:shd w:val="clear" w:color="auto" w:fill="auto"/>
          </w:tcPr>
          <w:p w14:paraId="08A57577" w14:textId="77777777" w:rsidR="00751A4A" w:rsidRPr="00FA77A3" w:rsidRDefault="00187494" w:rsidP="0010095E">
            <w:pPr>
              <w:pStyle w:val="EPLogo"/>
            </w:pPr>
            <w:r w:rsidRPr="00FA77A3">
              <w:rPr>
                <w:noProof/>
                <w:lang w:eastAsia="ja-JP"/>
              </w:rPr>
              <w:drawing>
                <wp:inline distT="0" distB="0" distL="0" distR="0" wp14:anchorId="45F3C5A0" wp14:editId="33F16C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6B1763" w14:textId="77777777" w:rsidR="00D058B8" w:rsidRPr="00FA77A3" w:rsidRDefault="00D058B8" w:rsidP="004C5D52">
      <w:pPr>
        <w:pStyle w:val="LineTop"/>
      </w:pPr>
    </w:p>
    <w:p w14:paraId="736D12BE" w14:textId="0AE163D5" w:rsidR="00680577" w:rsidRPr="00FA77A3" w:rsidRDefault="00D9022B" w:rsidP="00680577">
      <w:pPr>
        <w:pStyle w:val="EPBodyTA1"/>
      </w:pPr>
      <w:r w:rsidRPr="00FA77A3">
        <w:t>HYVÄKSYTYT TEKSTIT</w:t>
      </w:r>
    </w:p>
    <w:p w14:paraId="3A7504CD" w14:textId="77777777" w:rsidR="00D058B8" w:rsidRPr="00FA77A3" w:rsidRDefault="00D058B8" w:rsidP="00D058B8">
      <w:pPr>
        <w:pStyle w:val="LineBottom"/>
      </w:pPr>
    </w:p>
    <w:p w14:paraId="195A5CB6" w14:textId="4C49DCBB" w:rsidR="00D9022B" w:rsidRPr="00FA77A3" w:rsidRDefault="00D9022B" w:rsidP="00D9022B">
      <w:pPr>
        <w:pStyle w:val="ATHeading1"/>
      </w:pPr>
      <w:bookmarkStart w:id="0" w:name="TANumber"/>
      <w:r w:rsidRPr="00FA77A3">
        <w:t>P10_TA(2026)00</w:t>
      </w:r>
      <w:r w:rsidR="001C371C">
        <w:t>26</w:t>
      </w:r>
      <w:bookmarkEnd w:id="0"/>
    </w:p>
    <w:p w14:paraId="12E553A3" w14:textId="2F418D42" w:rsidR="00D9022B" w:rsidRPr="00FA77A3" w:rsidRDefault="00055B06" w:rsidP="00D9022B">
      <w:pPr>
        <w:pStyle w:val="ATHeading2"/>
      </w:pPr>
      <w:bookmarkStart w:id="1" w:name="title"/>
      <w:r w:rsidRPr="00FA77A3">
        <w:t>Turvallisen kolmannen maan käsitteen soveltaminen</w:t>
      </w:r>
      <w:bookmarkEnd w:id="1"/>
    </w:p>
    <w:p w14:paraId="5BF4D0B2" w14:textId="77777777" w:rsidR="00D9022B" w:rsidRPr="00FA77A3" w:rsidRDefault="00D9022B" w:rsidP="00D9022B">
      <w:pPr>
        <w:rPr>
          <w:i/>
          <w:vanish/>
        </w:rPr>
      </w:pPr>
      <w:r w:rsidRPr="00FA77A3">
        <w:rPr>
          <w:i/>
        </w:rPr>
        <w:fldChar w:fldCharType="begin"/>
      </w:r>
      <w:r w:rsidRPr="00FA77A3">
        <w:rPr>
          <w:i/>
        </w:rPr>
        <w:instrText xml:space="preserve"> TC"(</w:instrText>
      </w:r>
      <w:bookmarkStart w:id="2" w:name="DocNumber"/>
      <w:r w:rsidRPr="00FA77A3">
        <w:rPr>
          <w:i/>
        </w:rPr>
        <w:instrText>A10-0255/2025</w:instrText>
      </w:r>
      <w:bookmarkEnd w:id="2"/>
      <w:r w:rsidRPr="00FA77A3">
        <w:rPr>
          <w:i/>
        </w:rPr>
        <w:instrText xml:space="preserve"> - Esittelijä: Lena Düpont)"\l3 \n&gt; \* MERGEFORMAT </w:instrText>
      </w:r>
      <w:r w:rsidRPr="00FA77A3">
        <w:rPr>
          <w:i/>
        </w:rPr>
        <w:fldChar w:fldCharType="end"/>
      </w:r>
    </w:p>
    <w:p w14:paraId="0DDAF074" w14:textId="77777777" w:rsidR="00D9022B" w:rsidRPr="00FA77A3" w:rsidRDefault="00D9022B" w:rsidP="00D9022B">
      <w:pPr>
        <w:rPr>
          <w:vanish/>
        </w:rPr>
      </w:pPr>
      <w:bookmarkStart w:id="3" w:name="Commission"/>
      <w:r w:rsidRPr="00FA77A3">
        <w:rPr>
          <w:vanish/>
        </w:rPr>
        <w:t>Kansalaisvapauksien sekä oikeus- ja sisäasioiden valiokunta</w:t>
      </w:r>
      <w:bookmarkEnd w:id="3"/>
    </w:p>
    <w:p w14:paraId="00DE012E" w14:textId="77777777" w:rsidR="00D9022B" w:rsidRPr="00FA77A3" w:rsidRDefault="00D9022B" w:rsidP="00D9022B">
      <w:pPr>
        <w:rPr>
          <w:vanish/>
        </w:rPr>
      </w:pPr>
      <w:bookmarkStart w:id="4" w:name="PE"/>
      <w:r w:rsidRPr="00FA77A3">
        <w:rPr>
          <w:vanish/>
        </w:rPr>
        <w:t>PE778.391</w:t>
      </w:r>
      <w:bookmarkEnd w:id="4"/>
    </w:p>
    <w:p w14:paraId="360A59B3" w14:textId="29454A5E" w:rsidR="00D9022B" w:rsidRPr="00FA77A3" w:rsidRDefault="00D9022B" w:rsidP="00D9022B">
      <w:pPr>
        <w:pStyle w:val="ATHeading3"/>
      </w:pPr>
      <w:bookmarkStart w:id="5" w:name="Sujet"/>
      <w:r w:rsidRPr="00FA77A3">
        <w:t xml:space="preserve">Euroopan parlamentin lainsäädäntöpäätöslauselma </w:t>
      </w:r>
      <w:r w:rsidR="00055B06" w:rsidRPr="00FA77A3">
        <w:t>10</w:t>
      </w:r>
      <w:r w:rsidRPr="00FA77A3">
        <w:t>. helmikuuta 2026 ehdotuksesta Euroopan parlamentin ja neuvoston asetukseksi asetuksen (EU) 2024/1348 muuttamisesta turvallisen kolmannen maan käsitteen soveltamisen osalta</w:t>
      </w:r>
      <w:bookmarkEnd w:id="5"/>
      <w:r w:rsidRPr="00FA77A3">
        <w:t xml:space="preserve"> </w:t>
      </w:r>
      <w:bookmarkStart w:id="6" w:name="References"/>
      <w:r w:rsidRPr="00FA77A3">
        <w:t>(COM(2025)0259 – C10-0088/2025 – 2025/0132(COD))</w:t>
      </w:r>
      <w:bookmarkEnd w:id="6"/>
    </w:p>
    <w:p w14:paraId="47075451" w14:textId="77777777" w:rsidR="000B7E01" w:rsidRPr="00FA77A3" w:rsidRDefault="000B7E01" w:rsidP="000B7E01">
      <w:pPr>
        <w:pStyle w:val="NormalBold"/>
      </w:pPr>
      <w:r w:rsidRPr="00FA77A3">
        <w:t>(Tavallinen lainsäätämisjärjestys: ensimmäinen käsittely)</w:t>
      </w:r>
    </w:p>
    <w:p w14:paraId="7F3A8716" w14:textId="77777777" w:rsidR="000B7E01" w:rsidRPr="00FA77A3" w:rsidRDefault="000B7E01" w:rsidP="00B53CAA">
      <w:pPr>
        <w:pStyle w:val="EPComma"/>
        <w:widowControl/>
      </w:pPr>
      <w:r w:rsidRPr="00FA77A3">
        <w:rPr>
          <w:i/>
          <w:iCs/>
        </w:rPr>
        <w:t>Euroopan parlamentti</w:t>
      </w:r>
      <w:r w:rsidRPr="00FA77A3">
        <w:t>, joka</w:t>
      </w:r>
    </w:p>
    <w:p w14:paraId="035D5D58" w14:textId="77777777" w:rsidR="000B7E01" w:rsidRPr="00FA77A3" w:rsidRDefault="000B7E01" w:rsidP="00B53CAA">
      <w:pPr>
        <w:pStyle w:val="NormalHanging12a"/>
        <w:widowControl/>
      </w:pPr>
      <w:r w:rsidRPr="00FA77A3">
        <w:t>–</w:t>
      </w:r>
      <w:r w:rsidRPr="00FA77A3">
        <w:tab/>
        <w:t>ottaa huomioon komission ehdotuksen Euroopan parlamentille ja neuvostolle (COM(2025)0259),</w:t>
      </w:r>
    </w:p>
    <w:p w14:paraId="2FD2A04F" w14:textId="77777777" w:rsidR="000B7E01" w:rsidRPr="00FA77A3" w:rsidRDefault="000B7E01" w:rsidP="00B53CAA">
      <w:pPr>
        <w:pStyle w:val="NormalHanging12a"/>
        <w:widowControl/>
      </w:pPr>
      <w:r w:rsidRPr="00FA77A3">
        <w:t>–</w:t>
      </w:r>
      <w:r w:rsidRPr="00FA77A3">
        <w:tab/>
        <w:t>ottaa huomioon Euroopan unionin toiminnasta tehdyn sopimuksen 294 artiklan 2 kohdan ja 78 artiklan 2 kohdan d alakohdan, joiden mukaisesti komissio on antanut ehdotuksen Euroopan parlamentille (C10-0088/2025),</w:t>
      </w:r>
    </w:p>
    <w:p w14:paraId="3E5CB80A" w14:textId="77777777" w:rsidR="000B7E01" w:rsidRPr="00FA77A3" w:rsidRDefault="000B7E01" w:rsidP="00B53CAA">
      <w:pPr>
        <w:pStyle w:val="NormalHanging12a"/>
        <w:widowControl/>
      </w:pPr>
      <w:r w:rsidRPr="00FA77A3">
        <w:t>–</w:t>
      </w:r>
      <w:r w:rsidRPr="00FA77A3">
        <w:tab/>
        <w:t>ottaa huomioon Euroopan unionin toiminnasta tehdyn sopimuksen 294 artiklan 3 kohdan,</w:t>
      </w:r>
    </w:p>
    <w:p w14:paraId="060D1A19" w14:textId="77777777" w:rsidR="000B7E01" w:rsidRPr="00FA77A3" w:rsidRDefault="000B7E01" w:rsidP="00B53CAA">
      <w:pPr>
        <w:pStyle w:val="NormalHanging12a"/>
        <w:widowControl/>
      </w:pPr>
      <w:r w:rsidRPr="00FA77A3">
        <w:t>–</w:t>
      </w:r>
      <w:r w:rsidRPr="00FA77A3">
        <w:tab/>
        <w:t>ottaa huomioon Euroopan talous- ja sosiaalikomitean 23. lokakuuta 2025 antaman lausunnon</w:t>
      </w:r>
      <w:r w:rsidRPr="00FA77A3">
        <w:rPr>
          <w:rStyle w:val="FootnoteReference"/>
        </w:rPr>
        <w:footnoteReference w:id="1"/>
      </w:r>
      <w:r w:rsidRPr="00FA77A3">
        <w:t>,</w:t>
      </w:r>
    </w:p>
    <w:p w14:paraId="3494B7A6" w14:textId="3654E014" w:rsidR="00055B06" w:rsidRPr="00FA77A3" w:rsidRDefault="00055B06" w:rsidP="00B53CAA">
      <w:pPr>
        <w:pStyle w:val="NormalHanging12a"/>
        <w:widowControl/>
      </w:pPr>
      <w:r w:rsidRPr="00FA77A3">
        <w:t>–</w:t>
      </w:r>
      <w:r w:rsidRPr="00FA77A3">
        <w:tab/>
        <w:t>ottaa huomioon asiasta vastaavan valiokunnan työjärjestyksen 75 artiklan 4 kohdan mukaisesti hyväksymän alustavan sopimuksen sekä neuvoston edustajan 19. joulukuuta 202</w:t>
      </w:r>
      <w:r w:rsidR="00664E7D" w:rsidRPr="00FA77A3">
        <w:t>5</w:t>
      </w:r>
      <w:r w:rsidRPr="00FA77A3">
        <w:t xml:space="preserve"> päivätyllä kirjeellä antaman sitoumuksen hyväksyä Euroopan parlamentin kanta Euroopan unionin toiminnasta tehdyn sopimuksen 294 artiklan 4 kohdan mukaisesti,</w:t>
      </w:r>
    </w:p>
    <w:p w14:paraId="3FAEE8FB" w14:textId="77777777" w:rsidR="000B7E01" w:rsidRPr="00FA77A3" w:rsidRDefault="000B7E01" w:rsidP="00B53CAA">
      <w:pPr>
        <w:pStyle w:val="NormalHanging12a"/>
        <w:widowControl/>
      </w:pPr>
      <w:r w:rsidRPr="00FA77A3">
        <w:t>–</w:t>
      </w:r>
      <w:r w:rsidRPr="00FA77A3">
        <w:tab/>
        <w:t>ottaa huomioon työjärjestyksen 60 artiklan,</w:t>
      </w:r>
    </w:p>
    <w:p w14:paraId="342CABFE" w14:textId="77777777" w:rsidR="000B7E01" w:rsidRPr="00FA77A3" w:rsidRDefault="000B7E01" w:rsidP="00B53CAA">
      <w:pPr>
        <w:pStyle w:val="NormalHanging12a"/>
        <w:widowControl/>
      </w:pPr>
      <w:r w:rsidRPr="00FA77A3">
        <w:t>–</w:t>
      </w:r>
      <w:r w:rsidRPr="00FA77A3">
        <w:tab/>
        <w:t>ottaa huomioon kansalaisvapauksien sekä oikeus- ja sisäasioiden valiokunnan mietinnön (A10‑0255/2025),</w:t>
      </w:r>
    </w:p>
    <w:p w14:paraId="30CEFBB4" w14:textId="77777777" w:rsidR="000B7E01" w:rsidRPr="00FA77A3" w:rsidRDefault="000B7E01" w:rsidP="00B53CAA">
      <w:pPr>
        <w:pStyle w:val="NormalHanging12a"/>
        <w:widowControl/>
      </w:pPr>
      <w:r w:rsidRPr="00FA77A3">
        <w:t>1.</w:t>
      </w:r>
      <w:r w:rsidRPr="00FA77A3">
        <w:tab/>
        <w:t>vahvistaa jäljempänä esitetyn ensimmäisen käsittelyn kannan;</w:t>
      </w:r>
    </w:p>
    <w:p w14:paraId="0F9AE65C" w14:textId="77777777" w:rsidR="000B7E01" w:rsidRPr="00FA77A3" w:rsidRDefault="000B7E01" w:rsidP="00B53CAA">
      <w:pPr>
        <w:pStyle w:val="NormalHanging12a"/>
        <w:widowControl/>
      </w:pPr>
      <w:r w:rsidRPr="00FA77A3">
        <w:t>2.</w:t>
      </w:r>
      <w:r w:rsidRPr="00FA77A3">
        <w:tab/>
        <w:t>pyytää komissiota antamaan asian uudelleen Euroopan parlamentin käsiteltäväksi, jos se korvaa ehdotuksensa, muuttaa sitä huomattavasti tai aikoo muuttaa sitä huomattavasti;</w:t>
      </w:r>
    </w:p>
    <w:p w14:paraId="462575D2" w14:textId="77777777" w:rsidR="00664E7D" w:rsidRPr="00FA77A3" w:rsidRDefault="000B7E01" w:rsidP="00664E7D">
      <w:pPr>
        <w:pStyle w:val="NormalHanging12a"/>
        <w:widowControl/>
        <w:sectPr w:rsidR="00664E7D" w:rsidRPr="00FA77A3" w:rsidSect="0070518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A77A3">
        <w:lastRenderedPageBreak/>
        <w:t>3.</w:t>
      </w:r>
      <w:r w:rsidRPr="00FA77A3">
        <w:tab/>
        <w:t>kehottaa puhemiestä välittämään parlamentin kannan neuvostolle ja komissiolle sekä kansallisille parlamenteille.</w:t>
      </w:r>
    </w:p>
    <w:p w14:paraId="1AD914FF" w14:textId="77777777" w:rsidR="00664E7D" w:rsidRPr="00FA77A3" w:rsidRDefault="00664E7D" w:rsidP="00664E7D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A77A3">
        <w:rPr>
          <w:b/>
          <w:bCs/>
          <w:color w:val="000000"/>
        </w:rPr>
        <w:lastRenderedPageBreak/>
        <w:t>P10_TC1-COD(2025)0132</w:t>
      </w:r>
    </w:p>
    <w:p w14:paraId="2E63F2A9" w14:textId="63318C32" w:rsidR="00664E7D" w:rsidRDefault="00664E7D" w:rsidP="00664E7D">
      <w:pPr>
        <w:spacing w:after="240"/>
        <w:rPr>
          <w:rFonts w:eastAsia="Calibri"/>
          <w:b/>
          <w:szCs w:val="22"/>
          <w:lang w:eastAsia="fi-FI" w:bidi="fi-FI"/>
        </w:rPr>
      </w:pPr>
      <w:r w:rsidRPr="00FA77A3">
        <w:rPr>
          <w:b/>
          <w:szCs w:val="24"/>
        </w:rPr>
        <w:t xml:space="preserve">Euroopan parlamentin kanta, vahvistettu ensimmäisessä käsittelyssä 10. helmikuuta 2026, Euroopan parlamentin ja neuvoston asetuksen (EU) 2026/… antamiseksi </w:t>
      </w:r>
      <w:r w:rsidRPr="00FA77A3">
        <w:rPr>
          <w:rFonts w:eastAsia="Calibri"/>
          <w:b/>
          <w:szCs w:val="22"/>
          <w:lang w:eastAsia="fi-FI" w:bidi="fi-FI"/>
        </w:rPr>
        <w:t>asetuksen (EU) 2024/1348 muuttamisesta turvallisen kolmannen maan käsitteen soveltamisen osalta</w:t>
      </w:r>
    </w:p>
    <w:p w14:paraId="0B80EF70" w14:textId="322F75B3" w:rsidR="00A54278" w:rsidRDefault="00A54278" w:rsidP="00A54278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2026</w:t>
      </w:r>
      <w:r w:rsidRPr="002F34F6">
        <w:rPr>
          <w:i/>
          <w:szCs w:val="24"/>
        </w:rPr>
        <w:t>/</w:t>
      </w:r>
      <w:r>
        <w:rPr>
          <w:i/>
          <w:szCs w:val="24"/>
        </w:rPr>
        <w:t>463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R="00A54278" w:rsidSect="0070518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46496" w14:textId="77777777" w:rsidR="00D9022B" w:rsidRPr="00705186" w:rsidRDefault="00D9022B">
      <w:r w:rsidRPr="00705186">
        <w:separator/>
      </w:r>
    </w:p>
  </w:endnote>
  <w:endnote w:type="continuationSeparator" w:id="0">
    <w:p w14:paraId="4704EC89" w14:textId="77777777" w:rsidR="00D9022B" w:rsidRPr="00705186" w:rsidRDefault="00D9022B">
      <w:r w:rsidRPr="007051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19C54" w14:textId="77777777" w:rsidR="00D9022B" w:rsidRPr="00705186" w:rsidRDefault="00D9022B">
      <w:r w:rsidRPr="00705186">
        <w:separator/>
      </w:r>
    </w:p>
  </w:footnote>
  <w:footnote w:type="continuationSeparator" w:id="0">
    <w:p w14:paraId="225F7319" w14:textId="77777777" w:rsidR="00D9022B" w:rsidRPr="00705186" w:rsidRDefault="00D9022B">
      <w:r w:rsidRPr="00705186">
        <w:continuationSeparator/>
      </w:r>
    </w:p>
  </w:footnote>
  <w:footnote w:id="1">
    <w:p w14:paraId="0FB39C36" w14:textId="622C51B0" w:rsidR="000B7E01" w:rsidRPr="00FA77A3" w:rsidRDefault="000B7E01" w:rsidP="00055B06">
      <w:pPr>
        <w:pStyle w:val="FootnoteText"/>
        <w:spacing w:before="120"/>
        <w:ind w:left="567" w:hanging="567"/>
        <w:rPr>
          <w:sz w:val="24"/>
          <w:lang w:val="fi-FI"/>
        </w:rPr>
      </w:pPr>
      <w:r w:rsidRPr="00FA77A3">
        <w:rPr>
          <w:rStyle w:val="FootnoteReference"/>
          <w:sz w:val="24"/>
          <w:szCs w:val="24"/>
          <w:lang w:val="fi-FI"/>
        </w:rPr>
        <w:footnoteRef/>
      </w:r>
      <w:r w:rsidR="00705186" w:rsidRPr="00FA77A3">
        <w:rPr>
          <w:sz w:val="24"/>
          <w:lang w:val="fi-FI"/>
        </w:rPr>
        <w:t xml:space="preserve"> </w:t>
      </w:r>
      <w:r w:rsidR="00705186" w:rsidRPr="00FA77A3">
        <w:rPr>
          <w:sz w:val="24"/>
          <w:lang w:val="fi-FI"/>
        </w:rPr>
        <w:tab/>
      </w:r>
      <w:r w:rsidRPr="00FA77A3">
        <w:rPr>
          <w:sz w:val="24"/>
          <w:lang w:val="fi-FI"/>
        </w:rPr>
        <w:t>Ei vielä julkaistu virallisessa lehdessä.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15256386">
    <w:abstractNumId w:val="9"/>
  </w:num>
  <w:num w:numId="2" w16cid:durableId="1481995688">
    <w:abstractNumId w:val="9"/>
  </w:num>
  <w:num w:numId="3" w16cid:durableId="1111557243">
    <w:abstractNumId w:val="7"/>
  </w:num>
  <w:num w:numId="4" w16cid:durableId="1234580831">
    <w:abstractNumId w:val="7"/>
  </w:num>
  <w:num w:numId="5" w16cid:durableId="1330983892">
    <w:abstractNumId w:val="6"/>
  </w:num>
  <w:num w:numId="6" w16cid:durableId="1879201387">
    <w:abstractNumId w:val="6"/>
  </w:num>
  <w:num w:numId="7" w16cid:durableId="1950962606">
    <w:abstractNumId w:val="5"/>
  </w:num>
  <w:num w:numId="8" w16cid:durableId="1034119279">
    <w:abstractNumId w:val="5"/>
  </w:num>
  <w:num w:numId="9" w16cid:durableId="1298560564">
    <w:abstractNumId w:val="4"/>
  </w:num>
  <w:num w:numId="10" w16cid:durableId="1196191878">
    <w:abstractNumId w:val="4"/>
  </w:num>
  <w:num w:numId="11" w16cid:durableId="1592767">
    <w:abstractNumId w:val="8"/>
  </w:num>
  <w:num w:numId="12" w16cid:durableId="100733762">
    <w:abstractNumId w:val="8"/>
  </w:num>
  <w:num w:numId="13" w16cid:durableId="731579615">
    <w:abstractNumId w:val="3"/>
  </w:num>
  <w:num w:numId="14" w16cid:durableId="55666139">
    <w:abstractNumId w:val="3"/>
  </w:num>
  <w:num w:numId="15" w16cid:durableId="451094686">
    <w:abstractNumId w:val="2"/>
  </w:num>
  <w:num w:numId="16" w16cid:durableId="1726641929">
    <w:abstractNumId w:val="2"/>
  </w:num>
  <w:num w:numId="17" w16cid:durableId="1558978002">
    <w:abstractNumId w:val="1"/>
  </w:num>
  <w:num w:numId="18" w16cid:durableId="820923362">
    <w:abstractNumId w:val="1"/>
  </w:num>
  <w:num w:numId="19" w16cid:durableId="202401472">
    <w:abstractNumId w:val="0"/>
  </w:num>
  <w:num w:numId="20" w16cid:durableId="125661853">
    <w:abstractNumId w:val="0"/>
  </w:num>
  <w:num w:numId="21" w16cid:durableId="2130279462">
    <w:abstractNumId w:val="9"/>
  </w:num>
  <w:num w:numId="22" w16cid:durableId="1200557593">
    <w:abstractNumId w:val="7"/>
  </w:num>
  <w:num w:numId="23" w16cid:durableId="793598575">
    <w:abstractNumId w:val="6"/>
  </w:num>
  <w:num w:numId="24" w16cid:durableId="625086709">
    <w:abstractNumId w:val="5"/>
  </w:num>
  <w:num w:numId="25" w16cid:durableId="939143617">
    <w:abstractNumId w:val="4"/>
  </w:num>
  <w:num w:numId="26" w16cid:durableId="1745757332">
    <w:abstractNumId w:val="8"/>
  </w:num>
  <w:num w:numId="27" w16cid:durableId="1067730853">
    <w:abstractNumId w:val="3"/>
  </w:num>
  <w:num w:numId="28" w16cid:durableId="874931830">
    <w:abstractNumId w:val="2"/>
  </w:num>
  <w:num w:numId="29" w16cid:durableId="1584531402">
    <w:abstractNumId w:val="1"/>
  </w:num>
  <w:num w:numId="30" w16cid:durableId="190654191">
    <w:abstractNumId w:val="0"/>
  </w:num>
  <w:num w:numId="31" w16cid:durableId="817264164">
    <w:abstractNumId w:val="9"/>
  </w:num>
  <w:num w:numId="32" w16cid:durableId="310906611">
    <w:abstractNumId w:val="7"/>
  </w:num>
  <w:num w:numId="33" w16cid:durableId="1718236611">
    <w:abstractNumId w:val="6"/>
  </w:num>
  <w:num w:numId="34" w16cid:durableId="1833595535">
    <w:abstractNumId w:val="5"/>
  </w:num>
  <w:num w:numId="35" w16cid:durableId="2035036773">
    <w:abstractNumId w:val="4"/>
  </w:num>
  <w:num w:numId="36" w16cid:durableId="50472342">
    <w:abstractNumId w:val="8"/>
  </w:num>
  <w:num w:numId="37" w16cid:durableId="789054297">
    <w:abstractNumId w:val="3"/>
  </w:num>
  <w:num w:numId="38" w16cid:durableId="1928146676">
    <w:abstractNumId w:val="2"/>
  </w:num>
  <w:num w:numId="39" w16cid:durableId="202795489">
    <w:abstractNumId w:val="1"/>
  </w:num>
  <w:num w:numId="40" w16cid:durableId="1793402956">
    <w:abstractNumId w:val="0"/>
  </w:num>
  <w:num w:numId="41" w16cid:durableId="2057269189">
    <w:abstractNumId w:val="10"/>
  </w:num>
  <w:num w:numId="42" w16cid:durableId="1539590104">
    <w:abstractNumId w:val="10"/>
  </w:num>
  <w:num w:numId="43" w16cid:durableId="486432927">
    <w:abstractNumId w:val="10"/>
  </w:num>
  <w:num w:numId="44" w16cid:durableId="10111028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5/2025"/>
    <w:docVar w:name="dvlangue" w:val="FI"/>
    <w:docVar w:name="dvnumam" w:val="12"/>
    <w:docVar w:name="dvpe" w:val="778.391"/>
    <w:docVar w:name="dvrapporteur" w:val="Esittelijä: "/>
    <w:docVar w:name="dvstar" w:val="***I"/>
    <w:docVar w:name="dvtitre" w:val="Euroopan parlamentin lainsäädäntöpäätöslauselma xx. helmikuuta 2026 ehdotuksesta Euroopan parlamentin ja neuvoston asetukseksi asetuksen (EU) 2024/1348 muuttamisesta turvallisen kolmannen maan käsitteen soveltamisen osalta(COM(2025)0259 – C10-0088/2025 – 2025/0132(COD))"/>
  </w:docVars>
  <w:rsids>
    <w:rsidRoot w:val="00D9022B"/>
    <w:rsid w:val="00002272"/>
    <w:rsid w:val="00055B06"/>
    <w:rsid w:val="00064002"/>
    <w:rsid w:val="000677B9"/>
    <w:rsid w:val="000831BA"/>
    <w:rsid w:val="000A42CC"/>
    <w:rsid w:val="000B7E01"/>
    <w:rsid w:val="000E4088"/>
    <w:rsid w:val="000E7DD9"/>
    <w:rsid w:val="0010095E"/>
    <w:rsid w:val="00125B37"/>
    <w:rsid w:val="00156E63"/>
    <w:rsid w:val="00187494"/>
    <w:rsid w:val="001C371C"/>
    <w:rsid w:val="001F32AE"/>
    <w:rsid w:val="00206B7A"/>
    <w:rsid w:val="0024772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3052"/>
    <w:rsid w:val="00471C19"/>
    <w:rsid w:val="00473DA7"/>
    <w:rsid w:val="004867E3"/>
    <w:rsid w:val="00494A28"/>
    <w:rsid w:val="004C0004"/>
    <w:rsid w:val="004C5D52"/>
    <w:rsid w:val="004D644D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4E7D"/>
    <w:rsid w:val="00680577"/>
    <w:rsid w:val="006F74FA"/>
    <w:rsid w:val="0070518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4278"/>
    <w:rsid w:val="00A778C7"/>
    <w:rsid w:val="00AB441E"/>
    <w:rsid w:val="00AB6293"/>
    <w:rsid w:val="00AE0928"/>
    <w:rsid w:val="00AF3B82"/>
    <w:rsid w:val="00B12E95"/>
    <w:rsid w:val="00B22876"/>
    <w:rsid w:val="00B53CAA"/>
    <w:rsid w:val="00B558F0"/>
    <w:rsid w:val="00B972A4"/>
    <w:rsid w:val="00BB715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022B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37E7"/>
    <w:rsid w:val="00F5134D"/>
    <w:rsid w:val="00F5615B"/>
    <w:rsid w:val="00F74202"/>
    <w:rsid w:val="00F87713"/>
    <w:rsid w:val="00FA77A3"/>
    <w:rsid w:val="00FB4360"/>
    <w:rsid w:val="00FD0C70"/>
    <w:rsid w:val="00FD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DF2E2A"/>
  <w15:chartTrackingRefBased/>
  <w15:docId w15:val="{8800B244-8F01-4FBC-AF8D-2E20DA41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644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B7E0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0B7E01"/>
    <w:rPr>
      <w:b/>
    </w:rPr>
  </w:style>
  <w:style w:type="paragraph" w:customStyle="1" w:styleId="NormalHanging12a">
    <w:name w:val="NormalHanging12a"/>
    <w:basedOn w:val="Normal"/>
    <w:rsid w:val="000B7E0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B7E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B7E01"/>
    <w:rPr>
      <w:sz w:val="24"/>
      <w:lang w:val="fi-FI"/>
    </w:rPr>
  </w:style>
  <w:style w:type="paragraph" w:customStyle="1" w:styleId="AmNumberTabs">
    <w:name w:val="AmNumberTabs"/>
    <w:basedOn w:val="Normal"/>
    <w:rsid w:val="000B7E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B7E01"/>
    <w:pPr>
      <w:spacing w:before="240"/>
    </w:pPr>
    <w:rPr>
      <w:b/>
    </w:rPr>
  </w:style>
  <w:style w:type="paragraph" w:customStyle="1" w:styleId="EPFooter">
    <w:name w:val="EPFooter"/>
    <w:basedOn w:val="Normal"/>
    <w:rsid w:val="000B7E0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B7E01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0B7E01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0B7E0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B7E01"/>
    <w:rPr>
      <w:b/>
      <w:sz w:val="24"/>
      <w:lang w:val="fi-FI"/>
    </w:rPr>
  </w:style>
  <w:style w:type="paragraph" w:customStyle="1" w:styleId="ColumnHeading">
    <w:name w:val="ColumnHeading"/>
    <w:basedOn w:val="Normal"/>
    <w:rsid w:val="000B7E01"/>
    <w:pPr>
      <w:spacing w:after="240"/>
      <w:jc w:val="center"/>
    </w:pPr>
    <w:rPr>
      <w:i/>
    </w:rPr>
  </w:style>
  <w:style w:type="paragraph" w:styleId="Footer">
    <w:name w:val="footer"/>
    <w:basedOn w:val="Normal"/>
    <w:link w:val="FooterChar"/>
    <w:rsid w:val="00B53C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53CAA"/>
    <w:rPr>
      <w:sz w:val="24"/>
      <w:lang w:val="fi-FI"/>
    </w:rPr>
  </w:style>
  <w:style w:type="paragraph" w:styleId="Revision">
    <w:name w:val="Revision"/>
    <w:hidden/>
    <w:uiPriority w:val="99"/>
    <w:semiHidden/>
    <w:rsid w:val="00055B06"/>
    <w:rPr>
      <w:sz w:val="24"/>
      <w:lang w:val="fi-FI"/>
    </w:rPr>
  </w:style>
  <w:style w:type="paragraph" w:customStyle="1" w:styleId="NormalCenter12a">
    <w:name w:val="NormalCenter12a"/>
    <w:basedOn w:val="Normal"/>
    <w:rsid w:val="00664E7D"/>
    <w:pPr>
      <w:spacing w:after="240"/>
      <w:jc w:val="center"/>
    </w:pPr>
  </w:style>
  <w:style w:type="character" w:styleId="Hyperlink">
    <w:name w:val="Hyperlink"/>
    <w:uiPriority w:val="99"/>
    <w:unhideWhenUsed/>
    <w:rsid w:val="00664E7D"/>
    <w:rPr>
      <w:color w:val="0000FF"/>
      <w:u w:val="single"/>
    </w:rPr>
  </w:style>
  <w:style w:type="character" w:customStyle="1" w:styleId="Hyperlink1">
    <w:name w:val="Hyperlink1"/>
    <w:basedOn w:val="DefaultParagraphFont"/>
    <w:uiPriority w:val="99"/>
    <w:unhideWhenUsed/>
    <w:rsid w:val="00FA77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237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2026-04-14T13:30:00Z</dcterms:created>
  <dcterms:modified xsi:type="dcterms:W3CDTF">2026-04-14T13:30:00Z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P10_TA(2026)0026_</vt:lpwstr>
  </property>
  <property fmtid="{D5CDD505-2E9C-101B-9397-08002B2CF9AE}" pid="4" name="&lt;Type&gt;">
    <vt:lpwstr>RR</vt:lpwstr>
  </property>
</Properties>
</file>