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2AD2" w14:paraId="2412B3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7E0F29" w14:textId="77777777" w:rsidR="00751A4A" w:rsidRPr="00CF2AD2" w:rsidRDefault="00B932CC" w:rsidP="0010095E">
            <w:pPr>
              <w:pStyle w:val="EPName"/>
            </w:pPr>
            <w:r w:rsidRPr="00CF2AD2">
              <w:t>Evropský parlament</w:t>
            </w:r>
          </w:p>
          <w:p w14:paraId="3218891D" w14:textId="77777777" w:rsidR="00751A4A" w:rsidRPr="00CF2A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2AD2">
              <w:t>2024</w:t>
            </w:r>
            <w:r w:rsidR="00817416" w:rsidRPr="00CF2AD2">
              <w:t>-202</w:t>
            </w:r>
            <w:r w:rsidRPr="00CF2AD2">
              <w:t>9</w:t>
            </w:r>
          </w:p>
        </w:tc>
        <w:tc>
          <w:tcPr>
            <w:tcW w:w="2268" w:type="dxa"/>
            <w:shd w:val="clear" w:color="auto" w:fill="auto"/>
          </w:tcPr>
          <w:p w14:paraId="7250E29E" w14:textId="77777777" w:rsidR="00751A4A" w:rsidRPr="00CF2AD2" w:rsidRDefault="00187494" w:rsidP="0010095E">
            <w:pPr>
              <w:pStyle w:val="EPLogo"/>
            </w:pPr>
            <w:r w:rsidRPr="00CF2AD2">
              <w:rPr>
                <w:noProof/>
                <w:lang w:eastAsia="ja-JP"/>
              </w:rPr>
              <w:drawing>
                <wp:inline distT="0" distB="0" distL="0" distR="0" wp14:anchorId="5D350F28" wp14:editId="579353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78139B" w14:textId="77777777" w:rsidR="00D058B8" w:rsidRPr="00CF2AD2" w:rsidRDefault="00D058B8" w:rsidP="004C5D52">
      <w:pPr>
        <w:pStyle w:val="LineTop"/>
      </w:pPr>
    </w:p>
    <w:p w14:paraId="2595282E" w14:textId="77777777" w:rsidR="00680577" w:rsidRPr="00CF2AD2" w:rsidRDefault="00B932CC" w:rsidP="00680577">
      <w:pPr>
        <w:pStyle w:val="EPBodyTA1"/>
      </w:pPr>
      <w:r w:rsidRPr="00CF2AD2">
        <w:t>PŘIJATÉ TEXTY</w:t>
      </w:r>
    </w:p>
    <w:p w14:paraId="663344C0" w14:textId="77777777" w:rsidR="00D058B8" w:rsidRPr="00CF2AD2" w:rsidRDefault="00D058B8" w:rsidP="00D058B8">
      <w:pPr>
        <w:pStyle w:val="LineBottom"/>
      </w:pPr>
    </w:p>
    <w:p w14:paraId="57E163FF" w14:textId="0283E184" w:rsidR="00B932CC" w:rsidRPr="00CF2AD2" w:rsidRDefault="00B932CC" w:rsidP="00B932CC">
      <w:pPr>
        <w:pStyle w:val="ATHeading1"/>
      </w:pPr>
      <w:bookmarkStart w:id="0" w:name="TANumber"/>
      <w:r w:rsidRPr="00CF2AD2">
        <w:t>P10_TA(2026)00</w:t>
      </w:r>
      <w:r w:rsidR="00A86456">
        <w:t>27</w:t>
      </w:r>
      <w:bookmarkEnd w:id="0"/>
    </w:p>
    <w:p w14:paraId="7CC61D34" w14:textId="77777777" w:rsidR="00B932CC" w:rsidRPr="00CF2AD2" w:rsidRDefault="00B932CC" w:rsidP="00B932CC">
      <w:pPr>
        <w:pStyle w:val="ATHeading2"/>
      </w:pPr>
      <w:bookmarkStart w:id="1" w:name="title"/>
      <w:r w:rsidRPr="00CF2AD2">
        <w:t xml:space="preserve">Žádost, aby byl Petr </w:t>
      </w:r>
      <w:proofErr w:type="spellStart"/>
      <w:r w:rsidRPr="00CF2AD2">
        <w:t>Bystron</w:t>
      </w:r>
      <w:proofErr w:type="spellEnd"/>
      <w:r w:rsidRPr="00CF2AD2">
        <w:t xml:space="preserve"> zbaven imunity</w:t>
      </w:r>
      <w:bookmarkEnd w:id="1"/>
    </w:p>
    <w:p w14:paraId="575B3F7D" w14:textId="77777777" w:rsidR="00B932CC" w:rsidRPr="00CF2AD2" w:rsidRDefault="00B932CC" w:rsidP="00B932CC">
      <w:pPr>
        <w:rPr>
          <w:i/>
          <w:vanish/>
        </w:rPr>
      </w:pPr>
      <w:r w:rsidRPr="00CF2AD2">
        <w:rPr>
          <w:i/>
        </w:rPr>
        <w:fldChar w:fldCharType="begin"/>
      </w:r>
      <w:r w:rsidRPr="00CF2AD2">
        <w:rPr>
          <w:i/>
        </w:rPr>
        <w:instrText xml:space="preserve"> TC"(</w:instrText>
      </w:r>
      <w:bookmarkStart w:id="2" w:name="DocNumber"/>
      <w:r w:rsidRPr="00CF2AD2">
        <w:rPr>
          <w:i/>
        </w:rPr>
        <w:instrText>A10-0009/2026</w:instrText>
      </w:r>
      <w:bookmarkEnd w:id="2"/>
      <w:r w:rsidRPr="00CF2AD2">
        <w:rPr>
          <w:i/>
        </w:rPr>
        <w:instrText xml:space="preserve"> - Zpravodaj: Adrián Vázquez Lázara)"\l3 \n&gt; \* MERGEFORMAT </w:instrText>
      </w:r>
      <w:r w:rsidRPr="00CF2AD2">
        <w:rPr>
          <w:i/>
        </w:rPr>
        <w:fldChar w:fldCharType="end"/>
      </w:r>
    </w:p>
    <w:p w14:paraId="629F71F4" w14:textId="77777777" w:rsidR="00B932CC" w:rsidRPr="00CF2AD2" w:rsidRDefault="00B932CC" w:rsidP="00B932CC">
      <w:pPr>
        <w:rPr>
          <w:vanish/>
        </w:rPr>
      </w:pPr>
      <w:bookmarkStart w:id="3" w:name="Commission"/>
      <w:r w:rsidRPr="00CF2AD2">
        <w:rPr>
          <w:vanish/>
        </w:rPr>
        <w:t>Výbor pro právní záležitosti</w:t>
      </w:r>
      <w:bookmarkEnd w:id="3"/>
    </w:p>
    <w:p w14:paraId="19E38BCA" w14:textId="77777777" w:rsidR="00B932CC" w:rsidRPr="00CF2AD2" w:rsidRDefault="00B932CC" w:rsidP="00B932CC">
      <w:pPr>
        <w:rPr>
          <w:vanish/>
        </w:rPr>
      </w:pPr>
      <w:bookmarkStart w:id="4" w:name="PE"/>
      <w:r w:rsidRPr="00CF2AD2">
        <w:rPr>
          <w:vanish/>
        </w:rPr>
        <w:t>PE781.254</w:t>
      </w:r>
      <w:bookmarkEnd w:id="4"/>
    </w:p>
    <w:p w14:paraId="4976784F" w14:textId="77777777" w:rsidR="00B932CC" w:rsidRPr="00CF2AD2" w:rsidRDefault="00B932CC" w:rsidP="00B932CC">
      <w:pPr>
        <w:pStyle w:val="ATHeading3"/>
      </w:pPr>
      <w:bookmarkStart w:id="5" w:name="Sujet"/>
      <w:r w:rsidRPr="00CF2AD2">
        <w:t xml:space="preserve">Rozhodnutí Evropského parlamentu ze dne 10. února 2026 o žádosti, aby byl Petr </w:t>
      </w:r>
      <w:proofErr w:type="spellStart"/>
      <w:r w:rsidRPr="00CF2AD2">
        <w:t>Bystron</w:t>
      </w:r>
      <w:proofErr w:type="spellEnd"/>
      <w:r w:rsidRPr="00CF2AD2">
        <w:t xml:space="preserve"> zbaven imunity</w:t>
      </w:r>
      <w:bookmarkEnd w:id="5"/>
      <w:r w:rsidRPr="00CF2AD2">
        <w:t xml:space="preserve"> </w:t>
      </w:r>
      <w:bookmarkStart w:id="6" w:name="References"/>
      <w:r w:rsidRPr="00CF2AD2">
        <w:t>(2025/2077(IMM))</w:t>
      </w:r>
      <w:bookmarkEnd w:id="6"/>
    </w:p>
    <w:p w14:paraId="6BDA24D5" w14:textId="77777777" w:rsidR="00EB22E9" w:rsidRPr="00CF2AD2" w:rsidRDefault="00EB22E9" w:rsidP="00EB22E9">
      <w:pPr>
        <w:pStyle w:val="EPComma"/>
      </w:pPr>
      <w:bookmarkStart w:id="7" w:name="TextBodyBegin"/>
      <w:bookmarkEnd w:id="7"/>
      <w:r w:rsidRPr="00CF2AD2">
        <w:rPr>
          <w:i/>
        </w:rPr>
        <w:t>Evropský parlament</w:t>
      </w:r>
      <w:r w:rsidRPr="00CF2AD2">
        <w:t>,</w:t>
      </w:r>
    </w:p>
    <w:p w14:paraId="2AC3ECED" w14:textId="77777777" w:rsidR="00EB22E9" w:rsidRPr="00CF2AD2" w:rsidRDefault="00EB22E9" w:rsidP="00CF2AD2">
      <w:pPr>
        <w:pStyle w:val="NormalHanging12a"/>
      </w:pPr>
      <w:r w:rsidRPr="00CF2AD2">
        <w:t>–</w:t>
      </w:r>
      <w:r w:rsidRPr="00CF2AD2">
        <w:tab/>
        <w:t xml:space="preserve">s ohledem na žádost, aby byl Petr </w:t>
      </w:r>
      <w:proofErr w:type="spellStart"/>
      <w:r w:rsidRPr="00CF2AD2">
        <w:t>Bystron</w:t>
      </w:r>
      <w:proofErr w:type="spellEnd"/>
      <w:r w:rsidRPr="00CF2AD2">
        <w:t xml:space="preserve"> zbaven imunity, kterou Parlament obdržel v dopise německého spolkového ministerstva spravedlnosti ze dne 24. října 2024, v němž ministerstvo předává žádost nejvyššího státního zástupce v Mnichově v souvislosti s trestním řízením vedeným proti Petrovi </w:t>
      </w:r>
      <w:proofErr w:type="spellStart"/>
      <w:r w:rsidRPr="00CF2AD2">
        <w:t>Bystronovi</w:t>
      </w:r>
      <w:proofErr w:type="spellEnd"/>
      <w:r w:rsidRPr="00CF2AD2">
        <w:t>, a která byla oznámena na plenárním zasedání dne 3. dubna 2025,</w:t>
      </w:r>
    </w:p>
    <w:p w14:paraId="39650927" w14:textId="77777777" w:rsidR="00EB22E9" w:rsidRPr="00CF2AD2" w:rsidRDefault="00EB22E9" w:rsidP="00CF2AD2">
      <w:pPr>
        <w:pStyle w:val="NormalHanging12a"/>
      </w:pPr>
      <w:r w:rsidRPr="00CF2AD2">
        <w:t>–</w:t>
      </w:r>
      <w:r w:rsidRPr="00CF2AD2">
        <w:tab/>
        <w:t xml:space="preserve">s ohledem na to, že se Petr </w:t>
      </w:r>
      <w:proofErr w:type="spellStart"/>
      <w:r w:rsidRPr="00CF2AD2">
        <w:t>Bystron</w:t>
      </w:r>
      <w:proofErr w:type="spellEnd"/>
      <w:r w:rsidRPr="00CF2AD2">
        <w:t xml:space="preserve"> vzdal svého práva vyjádřit se podle čl. 9 odst. 6 jednacího řádu,</w:t>
      </w:r>
    </w:p>
    <w:p w14:paraId="741CFAD3" w14:textId="0A1F807B" w:rsidR="00EB22E9" w:rsidRPr="00CF2AD2" w:rsidRDefault="00EB22E9" w:rsidP="00CF2AD2">
      <w:pPr>
        <w:pStyle w:val="NormalHanging12a"/>
      </w:pPr>
      <w:r w:rsidRPr="00CF2AD2">
        <w:t>–</w:t>
      </w:r>
      <w:r w:rsidRPr="00CF2AD2">
        <w:tab/>
        <w:t>s ohledem na články 8 a 9 Protokolu č. 7 o výsadách a imunitách Evropské unie a</w:t>
      </w:r>
      <w:r w:rsidR="00CF2AD2">
        <w:t xml:space="preserve"> </w:t>
      </w:r>
      <w:r w:rsidRPr="00CF2AD2">
        <w:t>na</w:t>
      </w:r>
      <w:r w:rsidR="00CF2AD2" w:rsidRPr="00CF2AD2">
        <w:t> </w:t>
      </w:r>
      <w:r w:rsidRPr="00CF2AD2">
        <w:t>čl.</w:t>
      </w:r>
      <w:r w:rsidR="00CF2AD2" w:rsidRPr="00CF2AD2">
        <w:t> </w:t>
      </w:r>
      <w:r w:rsidRPr="00CF2AD2">
        <w:t xml:space="preserve">6 odst. 2 </w:t>
      </w:r>
      <w:r w:rsidR="00397D94">
        <w:t>a</w:t>
      </w:r>
      <w:r w:rsidRPr="00CF2AD2">
        <w:t>ktu ze dne 20. září 1976 o volbě členů Evropského parlamentu ve</w:t>
      </w:r>
      <w:r w:rsidR="00CF2AD2" w:rsidRPr="00CF2AD2">
        <w:t> </w:t>
      </w:r>
      <w:r w:rsidRPr="00CF2AD2">
        <w:t xml:space="preserve">všeobecných a přímých volbách, </w:t>
      </w:r>
    </w:p>
    <w:p w14:paraId="16CF72CE" w14:textId="0A9031A5" w:rsidR="00EB22E9" w:rsidRPr="00CF2AD2" w:rsidRDefault="00EB22E9" w:rsidP="00CF2AD2">
      <w:pPr>
        <w:pStyle w:val="NormalHanging12a"/>
      </w:pPr>
      <w:r w:rsidRPr="00CF2AD2">
        <w:t>–</w:t>
      </w:r>
      <w:r w:rsidRPr="00CF2AD2">
        <w:tab/>
        <w:t>s ohledem na rozsudky Soudního dvora Evropské unie ze dne 21. října 2008, 19.</w:t>
      </w:r>
      <w:r w:rsidR="00CF2AD2" w:rsidRPr="00CF2AD2">
        <w:t> </w:t>
      </w:r>
      <w:r w:rsidRPr="00CF2AD2">
        <w:t>března</w:t>
      </w:r>
      <w:r w:rsidR="00CF2AD2" w:rsidRPr="00CF2AD2">
        <w:t> </w:t>
      </w:r>
      <w:r w:rsidRPr="00CF2AD2">
        <w:t>2010, 6. září 2011, 17. ledna 2013, 19. prosince 2019 a 5. července 2023</w:t>
      </w:r>
      <w:r w:rsidRPr="00CF2AD2">
        <w:rPr>
          <w:rStyle w:val="FootnoteReference"/>
        </w:rPr>
        <w:footnoteReference w:id="1"/>
      </w:r>
      <w:r w:rsidRPr="00CF2AD2">
        <w:t>,</w:t>
      </w:r>
    </w:p>
    <w:p w14:paraId="2F740FF2" w14:textId="77777777" w:rsidR="00EB22E9" w:rsidRPr="00CF2AD2" w:rsidRDefault="00EB22E9" w:rsidP="00CF2AD2">
      <w:pPr>
        <w:pStyle w:val="NormalHanging12a"/>
      </w:pPr>
      <w:r w:rsidRPr="00CF2AD2">
        <w:t>–</w:t>
      </w:r>
      <w:r w:rsidRPr="00CF2AD2">
        <w:tab/>
        <w:t>s ohledem na článek 46 Základního zákona Spolkové republiky Německo;</w:t>
      </w:r>
    </w:p>
    <w:p w14:paraId="129478DB" w14:textId="77777777" w:rsidR="00EB22E9" w:rsidRPr="00CF2AD2" w:rsidRDefault="00EB22E9" w:rsidP="00CF2AD2">
      <w:pPr>
        <w:pStyle w:val="NormalHanging12a"/>
      </w:pPr>
      <w:r w:rsidRPr="00CF2AD2">
        <w:t>–</w:t>
      </w:r>
      <w:r w:rsidRPr="00CF2AD2">
        <w:tab/>
        <w:t>s ohledem na čl. 5 odst. 2, čl. 6 odst. 1 a článek 9 jednacího řádu,</w:t>
      </w:r>
    </w:p>
    <w:p w14:paraId="64ED170A" w14:textId="77777777" w:rsidR="00EB22E9" w:rsidRPr="00CF2AD2" w:rsidRDefault="00EB22E9" w:rsidP="00CF2AD2">
      <w:pPr>
        <w:pStyle w:val="NormalHanging12a"/>
      </w:pPr>
      <w:r w:rsidRPr="00CF2AD2">
        <w:lastRenderedPageBreak/>
        <w:t>–</w:t>
      </w:r>
      <w:r w:rsidRPr="00CF2AD2">
        <w:tab/>
        <w:t>s ohledem na zprávu Výboru pro právní záležitosti (A10</w:t>
      </w:r>
      <w:r w:rsidRPr="00CF2AD2">
        <w:noBreakHyphen/>
        <w:t>0009/2026),</w:t>
      </w:r>
    </w:p>
    <w:p w14:paraId="7699BE49" w14:textId="367750C1" w:rsidR="00EB22E9" w:rsidRPr="00CF2AD2" w:rsidRDefault="00EB22E9" w:rsidP="00CF2AD2">
      <w:pPr>
        <w:pStyle w:val="NormalHanging12a"/>
      </w:pPr>
      <w:r w:rsidRPr="00CF2AD2">
        <w:t>A.</w:t>
      </w:r>
      <w:r w:rsidRPr="00CF2AD2">
        <w:tab/>
        <w:t xml:space="preserve">vzhledem k tomu, že německé spolkové ministerstvo spravedlnosti předložilo žádost nejvyššího státního zástupce v Mnichově, aby byl Petr </w:t>
      </w:r>
      <w:proofErr w:type="spellStart"/>
      <w:r w:rsidRPr="00CF2AD2">
        <w:t>Bystron</w:t>
      </w:r>
      <w:proofErr w:type="spellEnd"/>
      <w:r w:rsidRPr="00CF2AD2">
        <w:t>, poslanec Evropského parlamentu</w:t>
      </w:r>
      <w:r w:rsidR="0090598D">
        <w:t xml:space="preserve"> zvolený v Německu</w:t>
      </w:r>
      <w:r w:rsidRPr="00CF2AD2">
        <w:t>, zbaven imunity v souvislosti s údajnými činy, které mohou představovat podvod podle § 263 odst. 1 německého trestního zákoníku, pokud jde o údajné nepravdivé prohlášení v souvislosti s vyplácením paušálního příspěvku;</w:t>
      </w:r>
    </w:p>
    <w:p w14:paraId="0325E6B1" w14:textId="77777777" w:rsidR="00EB22E9" w:rsidRPr="00CF2AD2" w:rsidRDefault="00EB22E9" w:rsidP="00CF2AD2">
      <w:pPr>
        <w:pStyle w:val="NormalHanging12a"/>
      </w:pPr>
      <w:r w:rsidRPr="00CF2AD2">
        <w:t>B.</w:t>
      </w:r>
      <w:r w:rsidRPr="00CF2AD2">
        <w:tab/>
        <w:t xml:space="preserve">vzhledem k tomu, že podle žádosti byl Petr </w:t>
      </w:r>
      <w:proofErr w:type="spellStart"/>
      <w:r w:rsidRPr="00CF2AD2">
        <w:t>Bystron</w:t>
      </w:r>
      <w:proofErr w:type="spellEnd"/>
      <w:r w:rsidRPr="00CF2AD2">
        <w:t xml:space="preserve"> od roku 2017 do července 2024 poslancem německého Spolkového sněmu; vzhledem k tomu, že jako poslanec německého Spolkového sněmu měl podle § 12 odst. 3 zákona o poslancích Spolkového sněmu (</w:t>
      </w:r>
      <w:proofErr w:type="spellStart"/>
      <w:r w:rsidRPr="00CF2AD2">
        <w:t>AbgG</w:t>
      </w:r>
      <w:proofErr w:type="spellEnd"/>
      <w:r w:rsidRPr="00CF2AD2">
        <w:t xml:space="preserve">) nárok na paušální příspěvek pokrývající mimo jiné zaměstnávání pracovníků; vzhledem k tomu, že dne 10. listopadu 2021 podepsal Petr </w:t>
      </w:r>
      <w:proofErr w:type="spellStart"/>
      <w:r w:rsidRPr="00CF2AD2">
        <w:t>Bystron</w:t>
      </w:r>
      <w:proofErr w:type="spellEnd"/>
      <w:r w:rsidRPr="00CF2AD2">
        <w:t xml:space="preserve"> pracovní smlouvu na přijetí zaměstnance jako „administrativního pracovníka/zapisovatele“ do své kanceláře ve volebním obvodu v Mnichově; vzhledem k tomu, že Petr </w:t>
      </w:r>
      <w:proofErr w:type="spellStart"/>
      <w:r w:rsidRPr="00CF2AD2">
        <w:t>Bystron</w:t>
      </w:r>
      <w:proofErr w:type="spellEnd"/>
      <w:r w:rsidRPr="00CF2AD2">
        <w:t xml:space="preserve"> údajně předložil tuto pracovní smlouvu správě Spolkového sněmu, přičemž výslovně prohlásil, že tento zaměstnanec bude pracovat jako administrativní pracovník/zapisovatel v jeho kanceláři ve volebním obvodu; vzhledem k tomu, že v žádosti se uvádí, že tento zaměstnanec ve skutečnosti nepracoval jako administrativní pracovník/zapisovatel; vzhledem k tomu, že z důvodu nesprávných údajů v pracovní smlouvě správa Spolkového sněmu mylně předpokládala, že byly splněny podmínky pro vyplácení paušálního příspěvku podle § 12 odst. 3 </w:t>
      </w:r>
      <w:proofErr w:type="spellStart"/>
      <w:r w:rsidRPr="00CF2AD2">
        <w:t>AbgG</w:t>
      </w:r>
      <w:proofErr w:type="spellEnd"/>
      <w:r w:rsidRPr="00CF2AD2">
        <w:t xml:space="preserve">, a proto vydala pokyn k vyplácení mzdy tomuto zaměstnanci (celkem přibližně 14 850 EUR); vzhledem k tomu, že podle žádosti byly tyto okolnosti Petru </w:t>
      </w:r>
      <w:proofErr w:type="spellStart"/>
      <w:r w:rsidRPr="00CF2AD2">
        <w:t>Bystronovi</w:t>
      </w:r>
      <w:proofErr w:type="spellEnd"/>
      <w:r w:rsidRPr="00CF2AD2">
        <w:t xml:space="preserve"> známy, a je tudíž podezřelý z toho, že úmyslně učinil nepravdivé prohlášení;</w:t>
      </w:r>
    </w:p>
    <w:p w14:paraId="600FC4A1" w14:textId="77777777" w:rsidR="00EB22E9" w:rsidRPr="00CF2AD2" w:rsidRDefault="00EB22E9" w:rsidP="00CF2AD2">
      <w:pPr>
        <w:pStyle w:val="NormalHanging12a"/>
      </w:pPr>
      <w:r w:rsidRPr="00CF2AD2">
        <w:t>C.</w:t>
      </w:r>
      <w:r w:rsidRPr="00CF2AD2">
        <w:tab/>
        <w:t xml:space="preserve">vzhledem k tomu, že Petr </w:t>
      </w:r>
      <w:proofErr w:type="spellStart"/>
      <w:r w:rsidRPr="00CF2AD2">
        <w:t>Bystron</w:t>
      </w:r>
      <w:proofErr w:type="spellEnd"/>
      <w:r w:rsidRPr="00CF2AD2">
        <w:t xml:space="preserve"> byl zvolen do Evropského parlamentu v evropských volbách v červnu 2024 a v době údajného trestného činu poslancem Evropského parlamentu nebyl;</w:t>
      </w:r>
    </w:p>
    <w:p w14:paraId="57F73466" w14:textId="77777777" w:rsidR="00EB22E9" w:rsidRPr="00CF2AD2" w:rsidRDefault="00EB22E9" w:rsidP="00CF2AD2">
      <w:pPr>
        <w:pStyle w:val="NormalHanging12a"/>
      </w:pPr>
      <w:r w:rsidRPr="00CF2AD2">
        <w:t>D.</w:t>
      </w:r>
      <w:r w:rsidRPr="00CF2AD2">
        <w:tab/>
        <w:t xml:space="preserve">vzhledem k tomu, že údajný trestný čin a následná žádost o to, aby byl Petr </w:t>
      </w:r>
      <w:proofErr w:type="spellStart"/>
      <w:r w:rsidRPr="00CF2AD2">
        <w:t>Bystron</w:t>
      </w:r>
      <w:proofErr w:type="spellEnd"/>
      <w:r w:rsidRPr="00CF2AD2">
        <w:t xml:space="preserve"> zbaven imunity, nemají souvislost s jeho názory nebo hlasováním při výkonu jeho funkce ve smyslu článku 8 Protokolu č. 7 o výsadách a imunitách Evropské unie;</w:t>
      </w:r>
    </w:p>
    <w:p w14:paraId="41A20AB7" w14:textId="7672DC65" w:rsidR="00EB22E9" w:rsidRPr="00CF2AD2" w:rsidRDefault="00EB22E9" w:rsidP="00CF2AD2">
      <w:pPr>
        <w:pStyle w:val="NormalHanging12a"/>
      </w:pPr>
      <w:r w:rsidRPr="00CF2AD2">
        <w:t>E.</w:t>
      </w:r>
      <w:r w:rsidRPr="00CF2AD2">
        <w:tab/>
        <w:t xml:space="preserve">vzhledem k tomu, že čl. 9 první pododstavec písm. a) Protokolu č. 7 o výsadách a imunitách Evropské unie stanoví, že v průběhu zasedání Evropského parlamentu jeho členové na území vlastního státu požívají imunit přiznávaných členům parlamentu </w:t>
      </w:r>
      <w:r w:rsidR="0090598D">
        <w:t>jejich členského</w:t>
      </w:r>
      <w:r w:rsidRPr="00CF2AD2">
        <w:t xml:space="preserve"> státu;</w:t>
      </w:r>
    </w:p>
    <w:p w14:paraId="0081EA46" w14:textId="77777777" w:rsidR="00EB22E9" w:rsidRPr="00CF2AD2" w:rsidRDefault="00EB22E9" w:rsidP="00CF2AD2">
      <w:pPr>
        <w:pStyle w:val="NormalHanging12a"/>
      </w:pPr>
      <w:r w:rsidRPr="00CF2AD2">
        <w:t>F.</w:t>
      </w:r>
      <w:r w:rsidRPr="00CF2AD2">
        <w:tab/>
        <w:t>vzhledem k tomu, že čl. 46 odst. 2, 3 a 4 Základního zákona Spolkové republiky Německo stanoví, že:</w:t>
      </w:r>
    </w:p>
    <w:p w14:paraId="1305201A" w14:textId="2F7E0933" w:rsidR="00EB22E9" w:rsidRPr="00CF2AD2" w:rsidRDefault="00EB22E9" w:rsidP="00CF2AD2">
      <w:pPr>
        <w:pStyle w:val="NormalHanging12a"/>
        <w:ind w:left="1134"/>
      </w:pPr>
      <w:r w:rsidRPr="00CF2AD2">
        <w:t>„(2)</w:t>
      </w:r>
      <w:r w:rsidRPr="00CF2AD2">
        <w:tab/>
        <w:t>V případě spáchání trestného činu smí být poslanec stíhán nebo zadržen pouze se</w:t>
      </w:r>
      <w:r w:rsidR="00CF2AD2" w:rsidRPr="00CF2AD2">
        <w:t> </w:t>
      </w:r>
      <w:r w:rsidRPr="00CF2AD2">
        <w:t>souhlasem Spolkového sněmu, pokud nebyl přistižen při činu nebo v průběhu následujícího dne.</w:t>
      </w:r>
    </w:p>
    <w:p w14:paraId="46AD406A" w14:textId="48DE6F4D" w:rsidR="00EB22E9" w:rsidRPr="00CF2AD2" w:rsidRDefault="00EB22E9" w:rsidP="00CF2AD2">
      <w:pPr>
        <w:pStyle w:val="NormalHanging12a"/>
        <w:ind w:left="1134"/>
      </w:pPr>
      <w:r w:rsidRPr="00CF2AD2">
        <w:t>(3)</w:t>
      </w:r>
      <w:r w:rsidRPr="00CF2AD2">
        <w:tab/>
        <w:t>Souhlas Spolkového sněmu je rovněž nutný k jakémukoli omezení osobní svobody poslance nebo k tomu, aby bylo proti poslanci zahájeno řízení podle článku 18.</w:t>
      </w:r>
    </w:p>
    <w:p w14:paraId="7F8D05F9" w14:textId="1133C2C5" w:rsidR="00EB22E9" w:rsidRPr="00CF2AD2" w:rsidRDefault="00EB22E9" w:rsidP="00CF2AD2">
      <w:pPr>
        <w:pStyle w:val="NormalHanging12a"/>
        <w:ind w:left="1134"/>
      </w:pPr>
      <w:r w:rsidRPr="00CF2AD2">
        <w:t>(4)</w:t>
      </w:r>
      <w:r w:rsidRPr="00CF2AD2">
        <w:tab/>
        <w:t xml:space="preserve">Jakékoli trestní řízení nebo řízení podle článku 18, které je vedeno proti poslanci, </w:t>
      </w:r>
      <w:r w:rsidRPr="00CF2AD2">
        <w:lastRenderedPageBreak/>
        <w:t>jeho zadržování nebo jiné omezení jeho osobní svobody musí být na žádost Spolkového sněmu zastaveno.“</w:t>
      </w:r>
    </w:p>
    <w:p w14:paraId="602B1359" w14:textId="77777777" w:rsidR="00EB22E9" w:rsidRPr="00CF2AD2" w:rsidRDefault="00EB22E9" w:rsidP="00CF2AD2">
      <w:pPr>
        <w:pStyle w:val="NormalHanging12a"/>
      </w:pPr>
      <w:r w:rsidRPr="00CF2AD2">
        <w:t>G.</w:t>
      </w:r>
      <w:r w:rsidRPr="00CF2AD2">
        <w:tab/>
        <w:t>vzhledem k tomu, že účelem imunity stanovené v Protokolu č. 7 o výsadách a imunitách Evropské unie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6F921AC4" w14:textId="77777777" w:rsidR="00EB22E9" w:rsidRPr="00CF2AD2" w:rsidRDefault="00EB22E9" w:rsidP="00CF2AD2">
      <w:pPr>
        <w:pStyle w:val="NormalHanging12a"/>
      </w:pPr>
      <w:r w:rsidRPr="00CF2AD2">
        <w:t>H.</w:t>
      </w:r>
      <w:r w:rsidRPr="00CF2AD2">
        <w:tab/>
        <w:t>vzhledem k tomu, že podle čl. 5 odst. 2 jednacího řádu není poslanecká imunita osobní výsadou poslanců, nýbrž zárukou nezávislosti Evropského parlamentu jako celku a jeho poslanců;</w:t>
      </w:r>
    </w:p>
    <w:p w14:paraId="5319BE73" w14:textId="77777777" w:rsidR="00EB22E9" w:rsidRPr="00CF2AD2" w:rsidRDefault="00EB22E9" w:rsidP="00CF2AD2">
      <w:pPr>
        <w:pStyle w:val="NormalHanging12a"/>
      </w:pPr>
      <w:r w:rsidRPr="00CF2AD2">
        <w:t>I.</w:t>
      </w:r>
      <w:r w:rsidRPr="00CF2AD2">
        <w:tab/>
        <w:t xml:space="preserve">vzhledem k tomu, že v této věci Parlament nenalezl důkazy o existenci </w:t>
      </w:r>
      <w:proofErr w:type="spellStart"/>
      <w:r w:rsidRPr="00CF2AD2">
        <w:t>fumus</w:t>
      </w:r>
      <w:proofErr w:type="spellEnd"/>
      <w:r w:rsidRPr="00CF2AD2">
        <w:t xml:space="preserve"> </w:t>
      </w:r>
      <w:proofErr w:type="spellStart"/>
      <w:r w:rsidRPr="00CF2AD2">
        <w:t>persecutionis</w:t>
      </w:r>
      <w:proofErr w:type="spellEnd"/>
      <w:r w:rsidRPr="00CF2AD2">
        <w:t>, tedy skutečností nasvědčujících tomu, že soudní řízení bylo zahájeno s úmyslem poškodit politickou činnost poslance, a tím i Evropského parlamentu;</w:t>
      </w:r>
    </w:p>
    <w:p w14:paraId="1DAC1553" w14:textId="11B4A61D" w:rsidR="00EB22E9" w:rsidRPr="00CF2AD2" w:rsidRDefault="00EB22E9" w:rsidP="00CF2AD2">
      <w:pPr>
        <w:pStyle w:val="NormalHanging12a"/>
      </w:pPr>
      <w:r w:rsidRPr="00CF2AD2">
        <w:t>J.</w:t>
      </w:r>
      <w:r w:rsidRPr="00CF2AD2">
        <w:tab/>
        <w:t>vzhledem k tomu, že na jedné straně Evropský parlament nelze považovat za soud a že na straně druhé poslanec nemůže být v rámci řízení o zbavení imunity považován za</w:t>
      </w:r>
      <w:r w:rsidR="003013A3" w:rsidRPr="00CF2AD2">
        <w:t> </w:t>
      </w:r>
      <w:r w:rsidRPr="00CF2AD2">
        <w:t>„obžalovaného“</w:t>
      </w:r>
      <w:r w:rsidRPr="00CF2AD2">
        <w:rPr>
          <w:vertAlign w:val="superscript"/>
        </w:rPr>
        <w:footnoteReference w:id="2"/>
      </w:r>
      <w:r w:rsidRPr="00CF2AD2">
        <w:t>;</w:t>
      </w:r>
    </w:p>
    <w:p w14:paraId="6DBAD8EE" w14:textId="77777777" w:rsidR="00EB22E9" w:rsidRPr="00CF2AD2" w:rsidRDefault="00EB22E9" w:rsidP="00CF2AD2">
      <w:pPr>
        <w:pStyle w:val="NormalHanging12a"/>
      </w:pPr>
      <w:r w:rsidRPr="00CF2AD2">
        <w:t>1.</w:t>
      </w:r>
      <w:r w:rsidRPr="00CF2AD2">
        <w:tab/>
        <w:t xml:space="preserve">rozhodl, že se Petr </w:t>
      </w:r>
      <w:proofErr w:type="spellStart"/>
      <w:r w:rsidRPr="00CF2AD2">
        <w:t>Bystron</w:t>
      </w:r>
      <w:proofErr w:type="spellEnd"/>
      <w:r w:rsidRPr="00CF2AD2">
        <w:t xml:space="preserve"> zbavuje imunity;</w:t>
      </w:r>
    </w:p>
    <w:p w14:paraId="013F541E" w14:textId="53C70471" w:rsidR="00E365E1" w:rsidRPr="00CF2AD2" w:rsidRDefault="00EB22E9" w:rsidP="00CF2AD2">
      <w:pPr>
        <w:spacing w:after="240"/>
        <w:ind w:left="567" w:hanging="567"/>
      </w:pPr>
      <w:r w:rsidRPr="00CF2AD2">
        <w:t>2.</w:t>
      </w:r>
      <w:r w:rsidRPr="00CF2AD2">
        <w:tab/>
        <w:t xml:space="preserve">pověřuje svou předsedkyni, aby ihned předala toto rozhodnutí a zprávu příslušného výboru příslušnému orgánu Spolkové republiky Německo a Petru </w:t>
      </w:r>
      <w:proofErr w:type="spellStart"/>
      <w:r w:rsidRPr="00CF2AD2">
        <w:t>Bystronovi</w:t>
      </w:r>
      <w:proofErr w:type="spellEnd"/>
      <w:r w:rsidRPr="00CF2AD2">
        <w:t>.</w:t>
      </w:r>
    </w:p>
    <w:sectPr w:rsidR="00E365E1" w:rsidRPr="00CF2AD2" w:rsidSect="00917D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23B45" w14:textId="77777777" w:rsidR="00B932CC" w:rsidRPr="00917DA4" w:rsidRDefault="00B932CC">
      <w:r w:rsidRPr="00917DA4">
        <w:separator/>
      </w:r>
    </w:p>
  </w:endnote>
  <w:endnote w:type="continuationSeparator" w:id="0">
    <w:p w14:paraId="63F6FDCB" w14:textId="77777777" w:rsidR="00B932CC" w:rsidRPr="00917DA4" w:rsidRDefault="00B932CC">
      <w:r w:rsidRPr="00917D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F970" w14:textId="77777777" w:rsidR="00064002" w:rsidRPr="00917D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73811" w14:textId="77777777" w:rsidR="00064002" w:rsidRPr="00917D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909C" w14:textId="77777777" w:rsidR="00064002" w:rsidRPr="00917D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F0E4F" w14:textId="77777777" w:rsidR="00B932CC" w:rsidRPr="00917DA4" w:rsidRDefault="00B932CC">
      <w:r w:rsidRPr="00917DA4">
        <w:separator/>
      </w:r>
    </w:p>
  </w:footnote>
  <w:footnote w:type="continuationSeparator" w:id="0">
    <w:p w14:paraId="0A5DDFE6" w14:textId="77777777" w:rsidR="00B932CC" w:rsidRPr="00917DA4" w:rsidRDefault="00B932CC">
      <w:r w:rsidRPr="00917DA4">
        <w:continuationSeparator/>
      </w:r>
    </w:p>
  </w:footnote>
  <w:footnote w:id="1">
    <w:p w14:paraId="7EEFA190" w14:textId="4B053588" w:rsidR="00EB22E9" w:rsidRPr="00917DA4" w:rsidRDefault="00EB22E9" w:rsidP="00917DA4">
      <w:pPr>
        <w:pStyle w:val="FootnoteText"/>
        <w:ind w:left="567" w:hanging="567"/>
        <w:rPr>
          <w:sz w:val="24"/>
          <w:lang w:val="cs-CZ"/>
        </w:rPr>
      </w:pPr>
      <w:r w:rsidRPr="00917DA4">
        <w:rPr>
          <w:rStyle w:val="FootnoteReference"/>
          <w:sz w:val="24"/>
          <w:lang w:val="cs-CZ"/>
        </w:rPr>
        <w:footnoteRef/>
      </w:r>
      <w:r w:rsidR="00917DA4" w:rsidRPr="00917DA4">
        <w:rPr>
          <w:sz w:val="24"/>
          <w:lang w:val="cs-CZ"/>
        </w:rPr>
        <w:t xml:space="preserve"> </w:t>
      </w:r>
      <w:r w:rsidR="00917DA4" w:rsidRPr="00917DA4">
        <w:rPr>
          <w:sz w:val="24"/>
          <w:lang w:val="cs-CZ"/>
        </w:rPr>
        <w:tab/>
      </w:r>
      <w:r w:rsidRPr="00917DA4">
        <w:rPr>
          <w:sz w:val="24"/>
          <w:lang w:val="cs-CZ"/>
        </w:rPr>
        <w:t xml:space="preserve">Rozsudek Soudního dvora ze dne 21. října 2008, </w:t>
      </w:r>
      <w:proofErr w:type="spellStart"/>
      <w:r w:rsidRPr="00917DA4">
        <w:rPr>
          <w:sz w:val="24"/>
          <w:lang w:val="cs-CZ"/>
        </w:rPr>
        <w:t>Marra</w:t>
      </w:r>
      <w:proofErr w:type="spellEnd"/>
      <w:r w:rsidRPr="00917DA4">
        <w:rPr>
          <w:sz w:val="24"/>
          <w:lang w:val="cs-CZ"/>
        </w:rPr>
        <w:t xml:space="preserve"> v. De </w:t>
      </w:r>
      <w:proofErr w:type="spellStart"/>
      <w:r w:rsidRPr="00917DA4">
        <w:rPr>
          <w:sz w:val="24"/>
          <w:lang w:val="cs-CZ"/>
        </w:rPr>
        <w:t>Gregorio</w:t>
      </w:r>
      <w:proofErr w:type="spellEnd"/>
      <w:r w:rsidRPr="00917DA4">
        <w:rPr>
          <w:sz w:val="24"/>
          <w:lang w:val="cs-CZ"/>
        </w:rPr>
        <w:t xml:space="preserve"> a Clemente, C 200/07 a C-201/07, ECLI:EU:C:2008:579; rozsudek Tribunálu ze dne 19. března 2010, </w:t>
      </w:r>
      <w:proofErr w:type="spellStart"/>
      <w:r w:rsidRPr="00917DA4">
        <w:rPr>
          <w:sz w:val="24"/>
          <w:lang w:val="cs-CZ"/>
        </w:rPr>
        <w:t>Gollnisch</w:t>
      </w:r>
      <w:proofErr w:type="spellEnd"/>
      <w:r w:rsidRPr="00917DA4">
        <w:rPr>
          <w:sz w:val="24"/>
          <w:lang w:val="cs-CZ"/>
        </w:rPr>
        <w:t xml:space="preserve"> v. Parlament, T-42/06, ECLI:EU:T:2010:102; rozsudek Soudního dvora ze dne 6. září 2011, </w:t>
      </w:r>
      <w:proofErr w:type="spellStart"/>
      <w:r w:rsidRPr="00917DA4">
        <w:rPr>
          <w:sz w:val="24"/>
          <w:lang w:val="cs-CZ"/>
        </w:rPr>
        <w:t>Patriciello</w:t>
      </w:r>
      <w:proofErr w:type="spellEnd"/>
      <w:r w:rsidRPr="00917DA4">
        <w:rPr>
          <w:sz w:val="24"/>
          <w:lang w:val="cs-CZ"/>
        </w:rPr>
        <w:t xml:space="preserve">, C 163/10, ECLI: EU:C:2011:543; rozsudek Tribunálu ze dne 17. ledna 2013, </w:t>
      </w:r>
      <w:proofErr w:type="spellStart"/>
      <w:r w:rsidRPr="00917DA4">
        <w:rPr>
          <w:sz w:val="24"/>
          <w:lang w:val="cs-CZ"/>
        </w:rPr>
        <w:t>Gollnisch</w:t>
      </w:r>
      <w:proofErr w:type="spellEnd"/>
      <w:r w:rsidRPr="00917DA4">
        <w:rPr>
          <w:sz w:val="24"/>
          <w:lang w:val="cs-CZ"/>
        </w:rPr>
        <w:t xml:space="preserve"> v. Parlament, T-346/11 a T-347/11, ECLI:EU:T:2013:23; rozsudek Soudního dvora ze dne 19. prosince 2019, </w:t>
      </w:r>
      <w:proofErr w:type="spellStart"/>
      <w:r w:rsidRPr="00917DA4">
        <w:rPr>
          <w:sz w:val="24"/>
          <w:lang w:val="cs-CZ"/>
        </w:rPr>
        <w:t>Junqueras</w:t>
      </w:r>
      <w:proofErr w:type="spellEnd"/>
      <w:r w:rsidRPr="00917DA4">
        <w:rPr>
          <w:sz w:val="24"/>
          <w:lang w:val="cs-CZ"/>
        </w:rPr>
        <w:t xml:space="preserve"> </w:t>
      </w:r>
      <w:proofErr w:type="spellStart"/>
      <w:r w:rsidRPr="00917DA4">
        <w:rPr>
          <w:sz w:val="24"/>
          <w:lang w:val="cs-CZ"/>
        </w:rPr>
        <w:t>Vies</w:t>
      </w:r>
      <w:proofErr w:type="spellEnd"/>
      <w:r w:rsidRPr="00917DA4">
        <w:rPr>
          <w:sz w:val="24"/>
          <w:lang w:val="cs-CZ"/>
        </w:rPr>
        <w:t xml:space="preserve">, C-502/19, ECLI:EU:C:2019:1115; rozsudek Tribunálu ze dne 5. července 2023, </w:t>
      </w:r>
      <w:proofErr w:type="spellStart"/>
      <w:r w:rsidRPr="00917DA4">
        <w:rPr>
          <w:sz w:val="24"/>
          <w:lang w:val="cs-CZ"/>
        </w:rPr>
        <w:t>Puigdemont</w:t>
      </w:r>
      <w:proofErr w:type="spellEnd"/>
      <w:r w:rsidRPr="00917DA4">
        <w:rPr>
          <w:sz w:val="24"/>
          <w:lang w:val="cs-CZ"/>
        </w:rPr>
        <w:t xml:space="preserve"> i </w:t>
      </w:r>
      <w:proofErr w:type="spellStart"/>
      <w:r w:rsidRPr="00917DA4">
        <w:rPr>
          <w:sz w:val="24"/>
          <w:lang w:val="cs-CZ"/>
        </w:rPr>
        <w:t>Casamajó</w:t>
      </w:r>
      <w:proofErr w:type="spellEnd"/>
      <w:r w:rsidRPr="00917DA4">
        <w:rPr>
          <w:sz w:val="24"/>
          <w:lang w:val="cs-CZ"/>
        </w:rPr>
        <w:t xml:space="preserve"> a další v. Parlament, T-272/21, ECLI:EU:T:2023:373.</w:t>
      </w:r>
    </w:p>
  </w:footnote>
  <w:footnote w:id="2">
    <w:p w14:paraId="4A160407" w14:textId="6D6C47DC" w:rsidR="00EB22E9" w:rsidRPr="00917DA4" w:rsidRDefault="00EB22E9" w:rsidP="00917DA4">
      <w:pPr>
        <w:pStyle w:val="FootnoteText"/>
        <w:ind w:left="567" w:hanging="567"/>
        <w:rPr>
          <w:sz w:val="24"/>
          <w:lang w:val="cs-CZ"/>
        </w:rPr>
      </w:pPr>
      <w:r w:rsidRPr="00917DA4">
        <w:rPr>
          <w:rStyle w:val="FootnoteReference"/>
          <w:sz w:val="24"/>
          <w:lang w:val="cs-CZ"/>
        </w:rPr>
        <w:footnoteRef/>
      </w:r>
      <w:r w:rsidR="00917DA4" w:rsidRPr="00917DA4">
        <w:rPr>
          <w:sz w:val="24"/>
          <w:lang w:val="cs-CZ"/>
        </w:rPr>
        <w:t xml:space="preserve"> </w:t>
      </w:r>
      <w:r w:rsidR="00917DA4" w:rsidRPr="00917DA4">
        <w:rPr>
          <w:sz w:val="24"/>
          <w:lang w:val="cs-CZ"/>
        </w:rPr>
        <w:tab/>
      </w:r>
      <w:r w:rsidRPr="00917DA4">
        <w:rPr>
          <w:sz w:val="24"/>
          <w:lang w:val="cs-CZ"/>
        </w:rPr>
        <w:t xml:space="preserve">Rozsudek Tribunálu ze dne 30. dubna 2019, </w:t>
      </w:r>
      <w:proofErr w:type="spellStart"/>
      <w:r w:rsidRPr="00917DA4">
        <w:rPr>
          <w:sz w:val="24"/>
          <w:lang w:val="cs-CZ"/>
        </w:rPr>
        <w:t>Briois</w:t>
      </w:r>
      <w:proofErr w:type="spellEnd"/>
      <w:r w:rsidRPr="00917DA4">
        <w:rPr>
          <w:sz w:val="24"/>
          <w:lang w:val="cs-CZ"/>
        </w:rPr>
        <w:t xml:space="preserve"> v. Evropský parlament, T-214/18, ECLI:</w:t>
      </w:r>
      <w:proofErr w:type="gramStart"/>
      <w:r w:rsidRPr="00917DA4">
        <w:rPr>
          <w:sz w:val="24"/>
          <w:lang w:val="cs-CZ"/>
        </w:rPr>
        <w:t>EU:T</w:t>
      </w:r>
      <w:proofErr w:type="gramEnd"/>
      <w:r w:rsidRPr="00917DA4">
        <w:rPr>
          <w:sz w:val="24"/>
          <w:lang w:val="cs-CZ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765B7" w14:textId="77777777" w:rsidR="00064002" w:rsidRPr="00917D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94125" w14:textId="77777777" w:rsidR="00064002" w:rsidRPr="00917D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0F1A4" w14:textId="77777777" w:rsidR="00064002" w:rsidRPr="00917D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8201510">
    <w:abstractNumId w:val="9"/>
  </w:num>
  <w:num w:numId="2" w16cid:durableId="1716199018">
    <w:abstractNumId w:val="9"/>
  </w:num>
  <w:num w:numId="3" w16cid:durableId="1345129518">
    <w:abstractNumId w:val="7"/>
  </w:num>
  <w:num w:numId="4" w16cid:durableId="2103719053">
    <w:abstractNumId w:val="7"/>
  </w:num>
  <w:num w:numId="5" w16cid:durableId="1871801519">
    <w:abstractNumId w:val="6"/>
  </w:num>
  <w:num w:numId="6" w16cid:durableId="1402217851">
    <w:abstractNumId w:val="6"/>
  </w:num>
  <w:num w:numId="7" w16cid:durableId="1728800267">
    <w:abstractNumId w:val="5"/>
  </w:num>
  <w:num w:numId="8" w16cid:durableId="1161001557">
    <w:abstractNumId w:val="5"/>
  </w:num>
  <w:num w:numId="9" w16cid:durableId="409931501">
    <w:abstractNumId w:val="4"/>
  </w:num>
  <w:num w:numId="10" w16cid:durableId="1277373517">
    <w:abstractNumId w:val="4"/>
  </w:num>
  <w:num w:numId="11" w16cid:durableId="1481800076">
    <w:abstractNumId w:val="8"/>
  </w:num>
  <w:num w:numId="12" w16cid:durableId="1414398382">
    <w:abstractNumId w:val="8"/>
  </w:num>
  <w:num w:numId="13" w16cid:durableId="1017001125">
    <w:abstractNumId w:val="3"/>
  </w:num>
  <w:num w:numId="14" w16cid:durableId="1310745313">
    <w:abstractNumId w:val="3"/>
  </w:num>
  <w:num w:numId="15" w16cid:durableId="1685934096">
    <w:abstractNumId w:val="2"/>
  </w:num>
  <w:num w:numId="16" w16cid:durableId="1748452780">
    <w:abstractNumId w:val="2"/>
  </w:num>
  <w:num w:numId="17" w16cid:durableId="76944984">
    <w:abstractNumId w:val="1"/>
  </w:num>
  <w:num w:numId="18" w16cid:durableId="1543666898">
    <w:abstractNumId w:val="1"/>
  </w:num>
  <w:num w:numId="19" w16cid:durableId="1823545878">
    <w:abstractNumId w:val="0"/>
  </w:num>
  <w:num w:numId="20" w16cid:durableId="1570846360">
    <w:abstractNumId w:val="0"/>
  </w:num>
  <w:num w:numId="21" w16cid:durableId="1707369124">
    <w:abstractNumId w:val="9"/>
  </w:num>
  <w:num w:numId="22" w16cid:durableId="1839692878">
    <w:abstractNumId w:val="7"/>
  </w:num>
  <w:num w:numId="23" w16cid:durableId="483860313">
    <w:abstractNumId w:val="6"/>
  </w:num>
  <w:num w:numId="24" w16cid:durableId="588545238">
    <w:abstractNumId w:val="5"/>
  </w:num>
  <w:num w:numId="25" w16cid:durableId="1246643327">
    <w:abstractNumId w:val="4"/>
  </w:num>
  <w:num w:numId="26" w16cid:durableId="311642048">
    <w:abstractNumId w:val="8"/>
  </w:num>
  <w:num w:numId="27" w16cid:durableId="1760370064">
    <w:abstractNumId w:val="3"/>
  </w:num>
  <w:num w:numId="28" w16cid:durableId="896937484">
    <w:abstractNumId w:val="2"/>
  </w:num>
  <w:num w:numId="29" w16cid:durableId="995113164">
    <w:abstractNumId w:val="1"/>
  </w:num>
  <w:num w:numId="30" w16cid:durableId="665012461">
    <w:abstractNumId w:val="0"/>
  </w:num>
  <w:num w:numId="31" w16cid:durableId="478809700">
    <w:abstractNumId w:val="9"/>
  </w:num>
  <w:num w:numId="32" w16cid:durableId="14424894">
    <w:abstractNumId w:val="7"/>
  </w:num>
  <w:num w:numId="33" w16cid:durableId="57679073">
    <w:abstractNumId w:val="6"/>
  </w:num>
  <w:num w:numId="34" w16cid:durableId="329451813">
    <w:abstractNumId w:val="5"/>
  </w:num>
  <w:num w:numId="35" w16cid:durableId="1656566034">
    <w:abstractNumId w:val="4"/>
  </w:num>
  <w:num w:numId="36" w16cid:durableId="39785502">
    <w:abstractNumId w:val="8"/>
  </w:num>
  <w:num w:numId="37" w16cid:durableId="1666325140">
    <w:abstractNumId w:val="3"/>
  </w:num>
  <w:num w:numId="38" w16cid:durableId="1278370786">
    <w:abstractNumId w:val="2"/>
  </w:num>
  <w:num w:numId="39" w16cid:durableId="1849638186">
    <w:abstractNumId w:val="1"/>
  </w:num>
  <w:num w:numId="40" w16cid:durableId="494951726">
    <w:abstractNumId w:val="0"/>
  </w:num>
  <w:num w:numId="41" w16cid:durableId="664433648">
    <w:abstractNumId w:val="10"/>
  </w:num>
  <w:num w:numId="42" w16cid:durableId="1170220569">
    <w:abstractNumId w:val="10"/>
  </w:num>
  <w:num w:numId="43" w16cid:durableId="1155412700">
    <w:abstractNumId w:val="10"/>
  </w:num>
  <w:num w:numId="44" w16cid:durableId="18857521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CS"/>
    <w:docVar w:name="dvnumam" w:val="0"/>
    <w:docVar w:name="dvpe" w:val="781.254"/>
    <w:docVar w:name="dvrapporteur" w:val="Zpravodaj: "/>
    <w:docVar w:name="dvtitre" w:val="Rozhodnutí Evropského parlamentu ze dne 10. února 2026 o žádosti, aby byl Petr Bystron zbaven imunity(2025/2077(IMM))"/>
  </w:docVars>
  <w:rsids>
    <w:rsidRoot w:val="00B932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2CDE"/>
    <w:rsid w:val="002767FF"/>
    <w:rsid w:val="002B18FE"/>
    <w:rsid w:val="002B5493"/>
    <w:rsid w:val="003013A3"/>
    <w:rsid w:val="00343214"/>
    <w:rsid w:val="00361C00"/>
    <w:rsid w:val="00371DE2"/>
    <w:rsid w:val="00395FA1"/>
    <w:rsid w:val="00397D9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CA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32"/>
    <w:rsid w:val="008C2AC6"/>
    <w:rsid w:val="0090598D"/>
    <w:rsid w:val="00917DA4"/>
    <w:rsid w:val="0092004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456"/>
    <w:rsid w:val="00AB441E"/>
    <w:rsid w:val="00AB6293"/>
    <w:rsid w:val="00AE0928"/>
    <w:rsid w:val="00AF3B82"/>
    <w:rsid w:val="00B11D3F"/>
    <w:rsid w:val="00B12E95"/>
    <w:rsid w:val="00B22876"/>
    <w:rsid w:val="00B558F0"/>
    <w:rsid w:val="00B932CC"/>
    <w:rsid w:val="00BD48FE"/>
    <w:rsid w:val="00BD7BD8"/>
    <w:rsid w:val="00BE6ADC"/>
    <w:rsid w:val="00C05BFE"/>
    <w:rsid w:val="00C23CD4"/>
    <w:rsid w:val="00C331CD"/>
    <w:rsid w:val="00C335A3"/>
    <w:rsid w:val="00C61C0C"/>
    <w:rsid w:val="00C941CB"/>
    <w:rsid w:val="00CC2357"/>
    <w:rsid w:val="00CF071A"/>
    <w:rsid w:val="00CF2AD2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2E9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D8E0F"/>
  <w15:chartTrackingRefBased/>
  <w15:docId w15:val="{A1410A4E-CFEC-46C0-AA5F-7C8E2251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B22E9"/>
    <w:pPr>
      <w:spacing w:after="240"/>
      <w:ind w:left="567" w:hanging="567"/>
    </w:pPr>
  </w:style>
  <w:style w:type="paragraph" w:customStyle="1" w:styleId="EPComma">
    <w:name w:val="EPComma"/>
    <w:basedOn w:val="Normal"/>
    <w:rsid w:val="00EB22E9"/>
    <w:pPr>
      <w:spacing w:before="480" w:after="240"/>
    </w:pPr>
  </w:style>
  <w:style w:type="paragraph" w:styleId="Revision">
    <w:name w:val="Revision"/>
    <w:hidden/>
    <w:uiPriority w:val="99"/>
    <w:semiHidden/>
    <w:rsid w:val="00272CD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4763</Characters>
  <Application>Microsoft Office Word</Application>
  <DocSecurity>0</DocSecurity>
  <Lines>226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2026-02-10T12:34:00Z</dcterms:created>
  <dcterms:modified xsi:type="dcterms:W3CDTF">2026-02-10T12:34:00Z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