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42A9" w14:paraId="34BEDC98" w14:textId="77777777" w:rsidTr="0010095E">
        <w:trPr>
          <w:trHeight w:hRule="exact" w:val="1418"/>
        </w:trPr>
        <w:tc>
          <w:tcPr>
            <w:tcW w:w="6804" w:type="dxa"/>
            <w:shd w:val="clear" w:color="auto" w:fill="auto"/>
            <w:vAlign w:val="center"/>
          </w:tcPr>
          <w:p w14:paraId="57EEBC2A" w14:textId="5C0A630C" w:rsidR="00751A4A" w:rsidRPr="00B642A9" w:rsidRDefault="00755D85" w:rsidP="0010095E">
            <w:pPr>
              <w:pStyle w:val="EPName"/>
            </w:pPr>
            <w:r w:rsidRPr="00B642A9">
              <w:t>Parlamento Europeo</w:t>
            </w:r>
          </w:p>
          <w:p w14:paraId="7CB577FD" w14:textId="77777777" w:rsidR="00751A4A" w:rsidRPr="00B642A9" w:rsidRDefault="005F1B17" w:rsidP="005F1B17">
            <w:pPr>
              <w:pStyle w:val="EPTerm"/>
              <w:rPr>
                <w:rStyle w:val="HideTWBExt"/>
                <w:noProof w:val="0"/>
                <w:vanish w:val="0"/>
                <w:color w:val="auto"/>
              </w:rPr>
            </w:pPr>
            <w:r w:rsidRPr="00B642A9">
              <w:t>2024</w:t>
            </w:r>
            <w:r w:rsidR="00817416" w:rsidRPr="00B642A9">
              <w:t>-202</w:t>
            </w:r>
            <w:r w:rsidRPr="00B642A9">
              <w:t>9</w:t>
            </w:r>
          </w:p>
        </w:tc>
        <w:tc>
          <w:tcPr>
            <w:tcW w:w="2268" w:type="dxa"/>
            <w:shd w:val="clear" w:color="auto" w:fill="auto"/>
          </w:tcPr>
          <w:p w14:paraId="58C911DB" w14:textId="77777777" w:rsidR="00751A4A" w:rsidRPr="00B642A9" w:rsidRDefault="00187494" w:rsidP="0010095E">
            <w:pPr>
              <w:pStyle w:val="EPLogo"/>
            </w:pPr>
            <w:r w:rsidRPr="00B642A9">
              <w:rPr>
                <w:noProof/>
                <w:lang w:eastAsia="ja-JP"/>
              </w:rPr>
              <w:drawing>
                <wp:inline distT="0" distB="0" distL="0" distR="0" wp14:anchorId="79E0D8BC" wp14:editId="41E78B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218B7D" w14:textId="77777777" w:rsidR="00D058B8" w:rsidRPr="00B642A9" w:rsidRDefault="00D058B8" w:rsidP="004C5D52">
      <w:pPr>
        <w:pStyle w:val="LineTop"/>
      </w:pPr>
    </w:p>
    <w:p w14:paraId="36F0ECD6" w14:textId="6996F032" w:rsidR="00680577" w:rsidRPr="00B642A9" w:rsidRDefault="00755D85" w:rsidP="00680577">
      <w:pPr>
        <w:pStyle w:val="EPBodyTA1"/>
      </w:pPr>
      <w:r w:rsidRPr="00B642A9">
        <w:t>TEXTOS APROBADOS</w:t>
      </w:r>
    </w:p>
    <w:p w14:paraId="53BAB0F2" w14:textId="77777777" w:rsidR="00D058B8" w:rsidRPr="00B642A9" w:rsidRDefault="00D058B8" w:rsidP="00D058B8">
      <w:pPr>
        <w:pStyle w:val="LineBottom"/>
      </w:pPr>
    </w:p>
    <w:p w14:paraId="0A943925" w14:textId="4F22F6FF" w:rsidR="00755D85" w:rsidRPr="001F0284" w:rsidRDefault="00755D85" w:rsidP="00755D85">
      <w:pPr>
        <w:pStyle w:val="ATHeading1"/>
      </w:pPr>
      <w:bookmarkStart w:id="0" w:name="TANumber"/>
      <w:r w:rsidRPr="001F0284">
        <w:t>P10_</w:t>
      </w:r>
      <w:proofErr w:type="gramStart"/>
      <w:r w:rsidRPr="001F0284">
        <w:t>TA(</w:t>
      </w:r>
      <w:proofErr w:type="gramEnd"/>
      <w:r w:rsidRPr="001F0284">
        <w:t>2026)00</w:t>
      </w:r>
      <w:r w:rsidR="00555274" w:rsidRPr="001F0284">
        <w:t>27</w:t>
      </w:r>
      <w:bookmarkEnd w:id="0"/>
    </w:p>
    <w:p w14:paraId="382E1300" w14:textId="77777777" w:rsidR="00755D85" w:rsidRPr="001F0284" w:rsidRDefault="00755D85" w:rsidP="00755D85">
      <w:pPr>
        <w:pStyle w:val="ATHeading2"/>
      </w:pPr>
      <w:bookmarkStart w:id="1" w:name="title"/>
      <w:r w:rsidRPr="001F0284">
        <w:t xml:space="preserve">Suplicatorio de suspensión de la inmunidad de </w:t>
      </w:r>
      <w:proofErr w:type="spellStart"/>
      <w:r w:rsidRPr="001F0284">
        <w:t>Petr</w:t>
      </w:r>
      <w:proofErr w:type="spellEnd"/>
      <w:r w:rsidRPr="001F0284">
        <w:t xml:space="preserve"> </w:t>
      </w:r>
      <w:proofErr w:type="spellStart"/>
      <w:r w:rsidRPr="001F0284">
        <w:t>Bystron</w:t>
      </w:r>
      <w:bookmarkEnd w:id="1"/>
      <w:proofErr w:type="spellEnd"/>
    </w:p>
    <w:p w14:paraId="491D5D34" w14:textId="77777777" w:rsidR="00755D85" w:rsidRPr="00B642A9" w:rsidRDefault="00755D85" w:rsidP="00755D85">
      <w:pPr>
        <w:rPr>
          <w:i/>
          <w:vanish/>
        </w:rPr>
      </w:pPr>
      <w:r w:rsidRPr="00B642A9">
        <w:rPr>
          <w:i/>
        </w:rPr>
        <w:fldChar w:fldCharType="begin"/>
      </w:r>
      <w:r w:rsidRPr="00B642A9">
        <w:rPr>
          <w:i/>
        </w:rPr>
        <w:instrText xml:space="preserve"> TC"(</w:instrText>
      </w:r>
      <w:bookmarkStart w:id="2" w:name="DocNumber"/>
      <w:r w:rsidRPr="00B642A9">
        <w:rPr>
          <w:i/>
        </w:rPr>
        <w:instrText>A10-0009/2026</w:instrText>
      </w:r>
      <w:bookmarkEnd w:id="2"/>
      <w:r w:rsidRPr="00B642A9">
        <w:rPr>
          <w:i/>
        </w:rPr>
        <w:instrText xml:space="preserve"> - Ponente: Adrián Vázquez </w:instrText>
      </w:r>
      <w:proofErr w:type="spellStart"/>
      <w:r w:rsidRPr="00B642A9">
        <w:rPr>
          <w:i/>
        </w:rPr>
        <w:instrText>Lázara</w:instrText>
      </w:r>
      <w:proofErr w:type="spellEnd"/>
      <w:r w:rsidRPr="00B642A9">
        <w:rPr>
          <w:i/>
        </w:rPr>
        <w:instrText xml:space="preserve">)"\l3 \n&gt; \* MERGEFORMAT </w:instrText>
      </w:r>
      <w:r w:rsidRPr="00B642A9">
        <w:rPr>
          <w:i/>
        </w:rPr>
        <w:fldChar w:fldCharType="end"/>
      </w:r>
    </w:p>
    <w:p w14:paraId="768BCAB8" w14:textId="77777777" w:rsidR="00755D85" w:rsidRPr="00B642A9" w:rsidRDefault="00755D85" w:rsidP="00755D85">
      <w:pPr>
        <w:rPr>
          <w:vanish/>
        </w:rPr>
      </w:pPr>
      <w:bookmarkStart w:id="3" w:name="Commission"/>
      <w:r w:rsidRPr="00B642A9">
        <w:rPr>
          <w:vanish/>
        </w:rPr>
        <w:t>Comisión de Asuntos Jurídicos</w:t>
      </w:r>
      <w:bookmarkEnd w:id="3"/>
    </w:p>
    <w:p w14:paraId="13C1AF3F" w14:textId="77777777" w:rsidR="00755D85" w:rsidRPr="00B642A9" w:rsidRDefault="00755D85" w:rsidP="00755D85">
      <w:pPr>
        <w:rPr>
          <w:vanish/>
        </w:rPr>
      </w:pPr>
      <w:bookmarkStart w:id="4" w:name="PE"/>
      <w:r w:rsidRPr="00B642A9">
        <w:rPr>
          <w:vanish/>
        </w:rPr>
        <w:t>PE781.254</w:t>
      </w:r>
      <w:bookmarkEnd w:id="4"/>
    </w:p>
    <w:p w14:paraId="101AD5D3" w14:textId="0B4A565E" w:rsidR="00755D85" w:rsidRPr="001F0284" w:rsidRDefault="007E4B42" w:rsidP="00755D85">
      <w:pPr>
        <w:pStyle w:val="ATHeading3"/>
      </w:pPr>
      <w:bookmarkStart w:id="5" w:name="Sujet"/>
      <w:r w:rsidRPr="001F0284">
        <w:t>Decisi</w:t>
      </w:r>
      <w:r w:rsidR="00755D85" w:rsidRPr="001F0284">
        <w:t xml:space="preserve">ón del Parlamento Europeo, de 10 de febrero de 2026, sobre el suplicatorio de suspensión de la inmunidad de </w:t>
      </w:r>
      <w:proofErr w:type="spellStart"/>
      <w:r w:rsidR="00755D85" w:rsidRPr="001F0284">
        <w:t>Petr</w:t>
      </w:r>
      <w:proofErr w:type="spellEnd"/>
      <w:r w:rsidR="00755D85" w:rsidRPr="001F0284">
        <w:t> </w:t>
      </w:r>
      <w:proofErr w:type="spellStart"/>
      <w:r w:rsidR="00755D85" w:rsidRPr="001F0284">
        <w:t>Bystron</w:t>
      </w:r>
      <w:bookmarkEnd w:id="5"/>
      <w:proofErr w:type="spellEnd"/>
      <w:r w:rsidR="00755D85" w:rsidRPr="001F0284">
        <w:t xml:space="preserve"> </w:t>
      </w:r>
      <w:bookmarkStart w:id="6" w:name="References"/>
      <w:r w:rsidR="00755D85" w:rsidRPr="001F0284">
        <w:t>(2025/2077(IMM))</w:t>
      </w:r>
      <w:bookmarkEnd w:id="6"/>
    </w:p>
    <w:p w14:paraId="02B8C010" w14:textId="77777777" w:rsidR="0045443F" w:rsidRPr="00B642A9" w:rsidRDefault="0045443F" w:rsidP="0045443F">
      <w:pPr>
        <w:pStyle w:val="EPComma"/>
      </w:pPr>
      <w:bookmarkStart w:id="7" w:name="TextBodyBegin"/>
      <w:bookmarkEnd w:id="7"/>
      <w:r w:rsidRPr="00B642A9">
        <w:rPr>
          <w:i/>
        </w:rPr>
        <w:t>El Parlamento Europeo</w:t>
      </w:r>
      <w:r w:rsidRPr="00B642A9">
        <w:t>,</w:t>
      </w:r>
    </w:p>
    <w:p w14:paraId="04ACDE50" w14:textId="77777777" w:rsidR="0045443F" w:rsidRPr="00B642A9" w:rsidRDefault="0045443F" w:rsidP="0045443F">
      <w:pPr>
        <w:pStyle w:val="NormalHanging12a"/>
      </w:pPr>
      <w:r w:rsidRPr="00B642A9">
        <w:t>–</w:t>
      </w:r>
      <w:r w:rsidRPr="00B642A9">
        <w:tab/>
        <w:t xml:space="preserve">Visto el suplicatorio de suspensión de la inmunidad de </w:t>
      </w:r>
      <w:proofErr w:type="spellStart"/>
      <w:r w:rsidRPr="00B642A9">
        <w:t>Petr</w:t>
      </w:r>
      <w:proofErr w:type="spellEnd"/>
      <w:r w:rsidRPr="00B642A9">
        <w:t> </w:t>
      </w:r>
      <w:proofErr w:type="spellStart"/>
      <w:r w:rsidRPr="00B642A9">
        <w:t>Bystron</w:t>
      </w:r>
      <w:proofErr w:type="spellEnd"/>
      <w:r w:rsidRPr="00B642A9">
        <w:t xml:space="preserve">, recibido mediante carta con fecha de 24 de octubre de 2024 del Ministerio Federal de Justicia de Alemania, por la que se transmitía un suplicatorio del fiscal jefe de Múnich en relación con un procedimiento penal incoado contra </w:t>
      </w:r>
      <w:proofErr w:type="spellStart"/>
      <w:r w:rsidRPr="00B642A9">
        <w:t>Petr</w:t>
      </w:r>
      <w:proofErr w:type="spellEnd"/>
      <w:r w:rsidRPr="00B642A9">
        <w:t> </w:t>
      </w:r>
      <w:proofErr w:type="spellStart"/>
      <w:r w:rsidRPr="00B642A9">
        <w:t>Bystron</w:t>
      </w:r>
      <w:proofErr w:type="spellEnd"/>
      <w:r w:rsidRPr="00B642A9">
        <w:t>, y comunicado al Pleno el 3 de abril de 2025,</w:t>
      </w:r>
    </w:p>
    <w:p w14:paraId="76D954E4" w14:textId="77777777" w:rsidR="0045443F" w:rsidRPr="00B642A9" w:rsidRDefault="0045443F" w:rsidP="0045443F">
      <w:pPr>
        <w:pStyle w:val="NormalHanging12a"/>
      </w:pPr>
      <w:r w:rsidRPr="00B642A9">
        <w:t>–</w:t>
      </w:r>
      <w:r w:rsidRPr="00B642A9">
        <w:tab/>
        <w:t xml:space="preserve">Visto que se considera que </w:t>
      </w:r>
      <w:proofErr w:type="spellStart"/>
      <w:r w:rsidRPr="00B642A9">
        <w:t>Petr</w:t>
      </w:r>
      <w:proofErr w:type="spellEnd"/>
      <w:r w:rsidRPr="00B642A9">
        <w:t xml:space="preserve"> </w:t>
      </w:r>
      <w:proofErr w:type="spellStart"/>
      <w:r w:rsidRPr="00B642A9">
        <w:t>Bystron</w:t>
      </w:r>
      <w:proofErr w:type="spellEnd"/>
      <w:r w:rsidRPr="00B642A9">
        <w:t xml:space="preserve"> ha renunciado a su derecho a ser oído de conformidad con el artículo 9, apartado 6, de su Reglamento interno,</w:t>
      </w:r>
    </w:p>
    <w:p w14:paraId="0A9A97A6" w14:textId="77777777" w:rsidR="0045443F" w:rsidRPr="00B642A9" w:rsidRDefault="0045443F" w:rsidP="0045443F">
      <w:pPr>
        <w:pStyle w:val="NormalHanging12a"/>
      </w:pPr>
      <w:r w:rsidRPr="00B642A9">
        <w:t>–</w:t>
      </w:r>
      <w:r w:rsidRPr="00B642A9">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67B863FD" w14:textId="77777777" w:rsidR="0045443F" w:rsidRPr="00B642A9" w:rsidRDefault="0045443F" w:rsidP="0045443F">
      <w:pPr>
        <w:pStyle w:val="NormalHanging12a"/>
      </w:pPr>
      <w:r w:rsidRPr="00B642A9">
        <w:t>–</w:t>
      </w:r>
      <w:r w:rsidRPr="00B642A9">
        <w:tab/>
        <w:t>Vistas las sentencias del Tribunal de Justicia de la Unión Europea de 21 de octubre de 2008, 19 de marzo de 2010, 6 de septiembre de 2011, 17 de enero de 2013, 19 de diciembre de 2019 y 5 de julio de 2023</w:t>
      </w:r>
      <w:r w:rsidRPr="00B642A9">
        <w:rPr>
          <w:vertAlign w:val="superscript"/>
        </w:rPr>
        <w:footnoteReference w:id="1"/>
      </w:r>
      <w:r w:rsidRPr="00B642A9">
        <w:t>,</w:t>
      </w:r>
    </w:p>
    <w:p w14:paraId="27E0D2F4" w14:textId="77777777" w:rsidR="0045443F" w:rsidRPr="00B642A9" w:rsidRDefault="0045443F" w:rsidP="0045443F">
      <w:pPr>
        <w:pStyle w:val="NormalHanging12a"/>
      </w:pPr>
      <w:r w:rsidRPr="00B642A9">
        <w:t>–</w:t>
      </w:r>
      <w:r w:rsidRPr="00B642A9">
        <w:tab/>
        <w:t>Visto el artículo 46 de la Ley Fundamental de la República Federal de Alemania,</w:t>
      </w:r>
    </w:p>
    <w:p w14:paraId="77099FA6" w14:textId="77777777" w:rsidR="0045443F" w:rsidRPr="00B642A9" w:rsidRDefault="0045443F" w:rsidP="0045443F">
      <w:pPr>
        <w:pStyle w:val="NormalHanging12a"/>
      </w:pPr>
      <w:r w:rsidRPr="00B642A9">
        <w:lastRenderedPageBreak/>
        <w:t>–</w:t>
      </w:r>
      <w:r w:rsidRPr="00B642A9">
        <w:tab/>
        <w:t>Vistos el artículo 5, apartado 2, el artículo 6, apartado 1, y el artículo 9 de su Reglamento interno,</w:t>
      </w:r>
    </w:p>
    <w:p w14:paraId="473E884F" w14:textId="77777777" w:rsidR="0045443F" w:rsidRPr="00B642A9" w:rsidRDefault="0045443F" w:rsidP="0045443F">
      <w:pPr>
        <w:pStyle w:val="NormalHanging12a"/>
      </w:pPr>
      <w:r w:rsidRPr="00B642A9">
        <w:t>–</w:t>
      </w:r>
      <w:r w:rsidRPr="00B642A9">
        <w:tab/>
        <w:t>Visto el informe de la Comisión de Asuntos Jurídicos (A10-0009/2026),</w:t>
      </w:r>
    </w:p>
    <w:p w14:paraId="450012D8" w14:textId="03C86923" w:rsidR="0045443F" w:rsidRPr="00B642A9" w:rsidRDefault="0045443F" w:rsidP="0045443F">
      <w:pPr>
        <w:pStyle w:val="NormalHanging12a"/>
      </w:pPr>
      <w:r w:rsidRPr="00B642A9">
        <w:t>A.</w:t>
      </w:r>
      <w:r w:rsidRPr="00B642A9">
        <w:tab/>
        <w:t xml:space="preserve">Considerando que el Ministerio Federal de Justicia alemán ha transmitido un suplicatorio del fiscal jefe de Múnich para la suspensión de la inmunidad de </w:t>
      </w:r>
      <w:proofErr w:type="spellStart"/>
      <w:r w:rsidRPr="00B642A9">
        <w:t>Petr</w:t>
      </w:r>
      <w:proofErr w:type="spellEnd"/>
      <w:r w:rsidRPr="00B642A9">
        <w:t> </w:t>
      </w:r>
      <w:proofErr w:type="spellStart"/>
      <w:r w:rsidRPr="00B642A9">
        <w:t>Bystron</w:t>
      </w:r>
      <w:proofErr w:type="spellEnd"/>
      <w:r w:rsidRPr="00B642A9">
        <w:t>, diputado al Parlamento Europeo</w:t>
      </w:r>
      <w:r w:rsidR="007E4B42" w:rsidRPr="00B642A9">
        <w:t xml:space="preserve"> elegido en Alemania</w:t>
      </w:r>
      <w:r w:rsidRPr="00B642A9">
        <w:t>, por una serie de actos presuntamente constitutivos de un delito de fraude con arreglo al artículo 263, apartado 1, del Código Penal alemán, relacionados con una supuesta declaración falsa vinculada con el pago de una asignación a tanto alzado;</w:t>
      </w:r>
    </w:p>
    <w:p w14:paraId="2EDFC1A3" w14:textId="77777777" w:rsidR="0045443F" w:rsidRPr="00B642A9" w:rsidRDefault="0045443F" w:rsidP="0045443F">
      <w:pPr>
        <w:pStyle w:val="NormalHanging12a"/>
      </w:pPr>
      <w:r w:rsidRPr="00B642A9">
        <w:t>B.</w:t>
      </w:r>
      <w:r w:rsidRPr="00B642A9">
        <w:tab/>
        <w:t xml:space="preserve">Considerando que, según el suplicatorio, </w:t>
      </w:r>
      <w:proofErr w:type="spellStart"/>
      <w:r w:rsidRPr="00B642A9">
        <w:t>Petr</w:t>
      </w:r>
      <w:proofErr w:type="spellEnd"/>
      <w:r w:rsidRPr="00B642A9">
        <w:t> </w:t>
      </w:r>
      <w:proofErr w:type="spellStart"/>
      <w:r w:rsidRPr="00B642A9">
        <w:t>Bystron</w:t>
      </w:r>
      <w:proofErr w:type="spellEnd"/>
      <w:r w:rsidRPr="00B642A9">
        <w:t xml:space="preserve"> fue diputado al </w:t>
      </w:r>
      <w:proofErr w:type="spellStart"/>
      <w:r w:rsidRPr="00B642A9">
        <w:t>Bundestag</w:t>
      </w:r>
      <w:proofErr w:type="spellEnd"/>
      <w:r w:rsidRPr="00B642A9">
        <w:t xml:space="preserve"> alemán entre 2017 y julio de 2024; que durante su mandato como diputado al </w:t>
      </w:r>
      <w:proofErr w:type="spellStart"/>
      <w:r w:rsidRPr="00B642A9">
        <w:t>Bundestag</w:t>
      </w:r>
      <w:proofErr w:type="spellEnd"/>
      <w:r w:rsidRPr="00B642A9">
        <w:t xml:space="preserve"> alemán, tenía derecho, en virtud del artículo 12, apartado 3, de la Ley alemana sobre el régimen jurídico de los diputados al </w:t>
      </w:r>
      <w:proofErr w:type="spellStart"/>
      <w:r w:rsidRPr="00B642A9">
        <w:t>Bundestag</w:t>
      </w:r>
      <w:proofErr w:type="spellEnd"/>
      <w:r w:rsidRPr="00B642A9">
        <w:t xml:space="preserve"> (</w:t>
      </w:r>
      <w:proofErr w:type="spellStart"/>
      <w:r w:rsidRPr="00B642A9">
        <w:t>AbgG</w:t>
      </w:r>
      <w:proofErr w:type="spellEnd"/>
      <w:r w:rsidRPr="00B642A9">
        <w:t xml:space="preserve">), a una asignación a tanto alzado destinada, entre otros fines, a la contratación de empleados; que, el 10 de noviembre de 2021, </w:t>
      </w:r>
      <w:proofErr w:type="spellStart"/>
      <w:r w:rsidRPr="00B642A9">
        <w:t>Petr</w:t>
      </w:r>
      <w:proofErr w:type="spellEnd"/>
      <w:r w:rsidRPr="00B642A9">
        <w:t> </w:t>
      </w:r>
      <w:proofErr w:type="spellStart"/>
      <w:r w:rsidRPr="00B642A9">
        <w:t>Bystron</w:t>
      </w:r>
      <w:proofErr w:type="spellEnd"/>
      <w:r w:rsidRPr="00B642A9">
        <w:t xml:space="preserve"> firmó un contrato de trabajo para contratar a un miembro del personal como «administrativo/mecanógrafo» en su oficina electoral de Múnich; que se alega que, al presentar el contrato de trabajo a la administración del </w:t>
      </w:r>
      <w:proofErr w:type="spellStart"/>
      <w:r w:rsidRPr="00B642A9">
        <w:t>Bundestag</w:t>
      </w:r>
      <w:proofErr w:type="spellEnd"/>
      <w:r w:rsidRPr="00B642A9">
        <w:t xml:space="preserve">, </w:t>
      </w:r>
      <w:proofErr w:type="spellStart"/>
      <w:r w:rsidRPr="00B642A9">
        <w:t>Petr</w:t>
      </w:r>
      <w:proofErr w:type="spellEnd"/>
      <w:r w:rsidRPr="00B642A9">
        <w:t> </w:t>
      </w:r>
      <w:proofErr w:type="spellStart"/>
      <w:r w:rsidRPr="00B642A9">
        <w:t>Bystron</w:t>
      </w:r>
      <w:proofErr w:type="spellEnd"/>
      <w:r w:rsidRPr="00B642A9">
        <w:t xml:space="preserve"> declaró expresamente que este miembro del personal trabajaría como administrativo/mecanógrafo en su oficina electoral; que el suplicatorio indica que, en realidad, ese miembro del personal no trabajó como administrativo/mecanógrafo; que presuntamente y como consecuencia de la información inexacta contenida en el contrato de trabajo, la administración del </w:t>
      </w:r>
      <w:proofErr w:type="spellStart"/>
      <w:r w:rsidRPr="00B642A9">
        <w:t>Bundestag</w:t>
      </w:r>
      <w:proofErr w:type="spellEnd"/>
      <w:r w:rsidRPr="00B642A9">
        <w:t xml:space="preserve"> consideró, de forma errónea, que se reunían las condiciones para el pago de la asignación a tanto alzado por gastos prevista en el artículo 12, apartado 3, de la </w:t>
      </w:r>
      <w:proofErr w:type="spellStart"/>
      <w:r w:rsidRPr="00B642A9">
        <w:t>AbgG</w:t>
      </w:r>
      <w:proofErr w:type="spellEnd"/>
      <w:r w:rsidRPr="00B642A9">
        <w:t xml:space="preserve"> y, por lo tanto, ordenó que se abonara el salario al miembro de personal (por un importe total aproximado de 14 850 EUR); que, según el suplicatorio, </w:t>
      </w:r>
      <w:proofErr w:type="spellStart"/>
      <w:r w:rsidRPr="00B642A9">
        <w:t>Petr</w:t>
      </w:r>
      <w:proofErr w:type="spellEnd"/>
      <w:r w:rsidRPr="00B642A9">
        <w:t> </w:t>
      </w:r>
      <w:proofErr w:type="spellStart"/>
      <w:r w:rsidRPr="00B642A9">
        <w:t>Bystron</w:t>
      </w:r>
      <w:proofErr w:type="spellEnd"/>
      <w:r w:rsidRPr="00B642A9">
        <w:t xml:space="preserve"> conocía estas circunstancias, por lo que se sospecha que realizó deliberadamente una declaración falsa;</w:t>
      </w:r>
    </w:p>
    <w:p w14:paraId="59144389" w14:textId="77777777" w:rsidR="0045443F" w:rsidRPr="00B642A9" w:rsidRDefault="0045443F" w:rsidP="0045443F">
      <w:pPr>
        <w:pStyle w:val="NormalHanging12a"/>
      </w:pPr>
      <w:r w:rsidRPr="00B642A9">
        <w:t>C.</w:t>
      </w:r>
      <w:r w:rsidRPr="00B642A9">
        <w:tab/>
        <w:t xml:space="preserve">Considerando que </w:t>
      </w:r>
      <w:proofErr w:type="spellStart"/>
      <w:r w:rsidRPr="00B642A9">
        <w:t>Petr</w:t>
      </w:r>
      <w:proofErr w:type="spellEnd"/>
      <w:r w:rsidRPr="00B642A9">
        <w:t> </w:t>
      </w:r>
      <w:proofErr w:type="spellStart"/>
      <w:r w:rsidRPr="00B642A9">
        <w:t>Bystron</w:t>
      </w:r>
      <w:proofErr w:type="spellEnd"/>
      <w:r w:rsidRPr="00B642A9">
        <w:t xml:space="preserve"> fue elegido diputado al Parlamento Europeo en las elecciones europeas de junio de 2024 y que no era diputado al Parlamento Europeo en el momento de la presunta comisión del delito;</w:t>
      </w:r>
    </w:p>
    <w:p w14:paraId="796FB6E2" w14:textId="77777777" w:rsidR="0045443F" w:rsidRPr="00B642A9" w:rsidRDefault="0045443F" w:rsidP="0045443F">
      <w:pPr>
        <w:pStyle w:val="NormalHanging12a"/>
      </w:pPr>
      <w:r w:rsidRPr="00B642A9">
        <w:t>D.</w:t>
      </w:r>
      <w:r w:rsidRPr="00B642A9">
        <w:tab/>
        <w:t xml:space="preserve">Considerando que el supuesto delito y el ulterior suplicatorio de suspensión de la inmunidad de </w:t>
      </w:r>
      <w:proofErr w:type="spellStart"/>
      <w:r w:rsidRPr="00B642A9">
        <w:t>Petr</w:t>
      </w:r>
      <w:proofErr w:type="spellEnd"/>
      <w:r w:rsidRPr="00B642A9">
        <w:t xml:space="preserve"> </w:t>
      </w:r>
      <w:proofErr w:type="spellStart"/>
      <w:r w:rsidRPr="00B642A9">
        <w:t>Bystron</w:t>
      </w:r>
      <w:proofErr w:type="spellEnd"/>
      <w:r w:rsidRPr="00B642A9">
        <w:t xml:space="preserve"> no están relacionados con las opiniones o votos emitidos en el ejercicio de sus funciones en el sentido del artículo 8 del Protocolo n.º 7 sobre los privilegios y las inmunidades de la Unión Europea;</w:t>
      </w:r>
    </w:p>
    <w:p w14:paraId="4DC7ED51" w14:textId="3D581B76" w:rsidR="0045443F" w:rsidRPr="00B642A9" w:rsidRDefault="0045443F" w:rsidP="0045443F">
      <w:pPr>
        <w:pStyle w:val="NormalHanging12a"/>
      </w:pPr>
      <w:r w:rsidRPr="00B642A9">
        <w:t>E.</w:t>
      </w:r>
      <w:r w:rsidRPr="00B642A9">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w:t>
      </w:r>
      <w:r w:rsidR="00F93871" w:rsidRPr="00B642A9">
        <w:t xml:space="preserve"> su país</w:t>
      </w:r>
      <w:r w:rsidRPr="00B642A9">
        <w:t>;</w:t>
      </w:r>
    </w:p>
    <w:p w14:paraId="09E827F4" w14:textId="77777777" w:rsidR="0045443F" w:rsidRPr="00B642A9" w:rsidRDefault="0045443F" w:rsidP="0045443F">
      <w:pPr>
        <w:pStyle w:val="NormalHanging12a"/>
      </w:pPr>
      <w:r w:rsidRPr="00B642A9">
        <w:t>F.</w:t>
      </w:r>
      <w:r w:rsidRPr="00B642A9">
        <w:tab/>
        <w:t>Considerando que el artículo 46, apartados 2, 3 y 4, de la Ley Fundamental de la República Federal de Alemania dispone lo siguiente:</w:t>
      </w:r>
    </w:p>
    <w:p w14:paraId="2A5161DB" w14:textId="77777777" w:rsidR="0045443F" w:rsidRPr="00B642A9" w:rsidRDefault="0045443F" w:rsidP="0045443F">
      <w:pPr>
        <w:pStyle w:val="NormalHanging12a"/>
        <w:ind w:left="1134"/>
      </w:pPr>
      <w:r w:rsidRPr="00B642A9">
        <w:t xml:space="preserve">«2) </w:t>
      </w:r>
      <w:r w:rsidRPr="00B642A9">
        <w:tab/>
        <w:t xml:space="preserve">Únicamente se podrá exigir responsabilidad o detener a un diputado por un acto que acarree una sanción si así lo autoriza el </w:t>
      </w:r>
      <w:proofErr w:type="spellStart"/>
      <w:r w:rsidRPr="00B642A9">
        <w:t>Bundestag</w:t>
      </w:r>
      <w:proofErr w:type="spellEnd"/>
      <w:r w:rsidRPr="00B642A9">
        <w:t xml:space="preserve">, a no ser que el diputado </w:t>
      </w:r>
      <w:r w:rsidRPr="00B642A9">
        <w:lastRenderedPageBreak/>
        <w:t>sea detenido en flagrante delito o en el día siguiente a la comisión del acto.</w:t>
      </w:r>
    </w:p>
    <w:p w14:paraId="0F23DA77" w14:textId="77777777" w:rsidR="0045443F" w:rsidRPr="00B642A9" w:rsidRDefault="0045443F" w:rsidP="0045443F">
      <w:pPr>
        <w:pStyle w:val="NormalHanging12a"/>
        <w:ind w:left="1134"/>
      </w:pPr>
      <w:r w:rsidRPr="00B642A9">
        <w:t xml:space="preserve">3) </w:t>
      </w:r>
      <w:r w:rsidRPr="00B642A9">
        <w:tab/>
        <w:t xml:space="preserve">La autorización del </w:t>
      </w:r>
      <w:proofErr w:type="spellStart"/>
      <w:r w:rsidRPr="00B642A9">
        <w:t>Bundestag</w:t>
      </w:r>
      <w:proofErr w:type="spellEnd"/>
      <w:r w:rsidRPr="00B642A9">
        <w:t xml:space="preserve"> será asimismo necesaria para cualquier otra restricción de la libertad personal de un diputado o para iniciar contra un diputado el procedimiento previsto en el artículo 18.</w:t>
      </w:r>
    </w:p>
    <w:p w14:paraId="6D80BAC7" w14:textId="77777777" w:rsidR="0045443F" w:rsidRPr="00B642A9" w:rsidRDefault="0045443F" w:rsidP="0045443F">
      <w:pPr>
        <w:pStyle w:val="NormalHanging12a"/>
        <w:ind w:left="1134"/>
      </w:pPr>
      <w:r w:rsidRPr="00B642A9">
        <w:t xml:space="preserve">4) </w:t>
      </w:r>
      <w:r w:rsidRPr="00B642A9">
        <w:tab/>
        <w:t xml:space="preserve">Se suspenderá a instancia del </w:t>
      </w:r>
      <w:proofErr w:type="spellStart"/>
      <w:r w:rsidRPr="00B642A9">
        <w:t>Bundestag</w:t>
      </w:r>
      <w:proofErr w:type="spellEnd"/>
      <w:r w:rsidRPr="00B642A9">
        <w:t xml:space="preserve"> todo proceso penal y todo procedimiento con arreglo al artículo 18 iniciado contra un diputado, toda detención y cualquier otra restricción de su libertad personal.»;</w:t>
      </w:r>
    </w:p>
    <w:p w14:paraId="7E8A634B" w14:textId="77777777" w:rsidR="0045443F" w:rsidRPr="00B642A9" w:rsidRDefault="0045443F" w:rsidP="0045443F">
      <w:pPr>
        <w:pStyle w:val="NormalHanging12a"/>
      </w:pPr>
      <w:r w:rsidRPr="00B642A9">
        <w:t>G.</w:t>
      </w:r>
      <w:r w:rsidRPr="00B642A9">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1E102FF5" w14:textId="77777777" w:rsidR="0045443F" w:rsidRPr="00B642A9" w:rsidRDefault="0045443F" w:rsidP="0045443F">
      <w:pPr>
        <w:pStyle w:val="NormalHanging12a"/>
      </w:pPr>
      <w:r w:rsidRPr="00B642A9">
        <w:t>H.</w:t>
      </w:r>
      <w:r w:rsidRPr="00B642A9">
        <w:tab/>
        <w:t>Considerando que, de conformidad con el artículo 5, apartado 2, de su Reglamento interno, la inmunidad parlamentaria no es un privilegio personal del diputado, sino una garantía de independencia del Parlamento en su conjunto y de sus diputados;</w:t>
      </w:r>
    </w:p>
    <w:p w14:paraId="6E0C7948" w14:textId="77777777" w:rsidR="0045443F" w:rsidRPr="00B642A9" w:rsidRDefault="0045443F" w:rsidP="0045443F">
      <w:pPr>
        <w:pStyle w:val="NormalHanging12a"/>
      </w:pPr>
      <w:r w:rsidRPr="00B642A9">
        <w:t>I.</w:t>
      </w:r>
      <w:r w:rsidRPr="00B642A9">
        <w:tab/>
        <w:t xml:space="preserve">Considerando que, en este caso, el Parlamento no ha podido determinar la existencia de </w:t>
      </w:r>
      <w:proofErr w:type="spellStart"/>
      <w:r w:rsidRPr="00B642A9">
        <w:rPr>
          <w:i/>
          <w:iCs/>
        </w:rPr>
        <w:t>fumus</w:t>
      </w:r>
      <w:proofErr w:type="spellEnd"/>
      <w:r w:rsidRPr="00B642A9">
        <w:rPr>
          <w:i/>
          <w:iCs/>
        </w:rPr>
        <w:t xml:space="preserve"> </w:t>
      </w:r>
      <w:proofErr w:type="spellStart"/>
      <w:r w:rsidRPr="00B642A9">
        <w:rPr>
          <w:i/>
          <w:iCs/>
        </w:rPr>
        <w:t>persecutionis</w:t>
      </w:r>
      <w:proofErr w:type="spellEnd"/>
      <w:r w:rsidRPr="00B642A9">
        <w:t>, esto es, de elementos de hecho que indiquen que la actuación judicial en cuestión se inició con la intención de causar un perjuicio a la actividad política del diputado en su condición de miembro del Parlamento Europeo;</w:t>
      </w:r>
    </w:p>
    <w:p w14:paraId="6F95B098" w14:textId="77777777" w:rsidR="0045443F" w:rsidRPr="00B642A9" w:rsidRDefault="0045443F" w:rsidP="0045443F">
      <w:pPr>
        <w:pStyle w:val="NormalHanging12a"/>
      </w:pPr>
      <w:r w:rsidRPr="00B642A9">
        <w:t>J.</w:t>
      </w:r>
      <w:r w:rsidRPr="00B642A9">
        <w:tab/>
        <w:t>Considerando, por un lado, que el Parlamento no puede equipararse a un órgano jurisdiccional y, por otro, que el diputado, en el contexto de un procedimiento de suspensión de la inmunidad, no puede considerarse un «acusado»</w:t>
      </w:r>
      <w:r w:rsidRPr="00B642A9">
        <w:rPr>
          <w:vertAlign w:val="superscript"/>
        </w:rPr>
        <w:footnoteReference w:id="2"/>
      </w:r>
      <w:r w:rsidRPr="00B642A9">
        <w:t>;</w:t>
      </w:r>
    </w:p>
    <w:p w14:paraId="5CA4B7B8" w14:textId="77777777" w:rsidR="0045443F" w:rsidRPr="00B642A9" w:rsidRDefault="0045443F" w:rsidP="0045443F">
      <w:pPr>
        <w:pStyle w:val="NormalHanging12a"/>
      </w:pPr>
      <w:r w:rsidRPr="00B642A9">
        <w:t>1.</w:t>
      </w:r>
      <w:r w:rsidRPr="00B642A9">
        <w:tab/>
        <w:t xml:space="preserve">Decide suspender la inmunidad parlamentaria de </w:t>
      </w:r>
      <w:proofErr w:type="spellStart"/>
      <w:r w:rsidRPr="00B642A9">
        <w:t>Petr</w:t>
      </w:r>
      <w:proofErr w:type="spellEnd"/>
      <w:r w:rsidRPr="00B642A9">
        <w:t> </w:t>
      </w:r>
      <w:proofErr w:type="spellStart"/>
      <w:r w:rsidRPr="00B642A9">
        <w:t>Bystron</w:t>
      </w:r>
      <w:proofErr w:type="spellEnd"/>
      <w:r w:rsidRPr="00B642A9">
        <w:t>;</w:t>
      </w:r>
    </w:p>
    <w:p w14:paraId="3628FB77" w14:textId="7C2C4645" w:rsidR="0003780F" w:rsidRPr="00B642A9" w:rsidRDefault="0045443F" w:rsidP="0003780F">
      <w:pPr>
        <w:pStyle w:val="NormalHanging12a"/>
      </w:pPr>
      <w:r w:rsidRPr="00B642A9">
        <w:t>2.</w:t>
      </w:r>
      <w:r w:rsidRPr="00B642A9">
        <w:tab/>
        <w:t xml:space="preserve">Encarga a su presidenta que transmita inmediatamente la presente Decisión y el informe de la comisión competente a las autoridades competentes de la República Federal de Alemania y a </w:t>
      </w:r>
      <w:proofErr w:type="spellStart"/>
      <w:r w:rsidRPr="00B642A9">
        <w:t>Petr</w:t>
      </w:r>
      <w:proofErr w:type="spellEnd"/>
      <w:r w:rsidRPr="00B642A9">
        <w:t> </w:t>
      </w:r>
      <w:proofErr w:type="spellStart"/>
      <w:r w:rsidRPr="00B642A9">
        <w:t>Bystron</w:t>
      </w:r>
      <w:proofErr w:type="spellEnd"/>
      <w:r w:rsidRPr="00B642A9">
        <w:t>.</w:t>
      </w:r>
    </w:p>
    <w:p w14:paraId="70AF7D61" w14:textId="5ACA7868" w:rsidR="00E365E1" w:rsidRPr="00B642A9" w:rsidRDefault="00E365E1" w:rsidP="0045443F"/>
    <w:sectPr w:rsidR="00E365E1" w:rsidRPr="00B642A9" w:rsidSect="000378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2C978" w14:textId="77777777" w:rsidR="00755D85" w:rsidRPr="0003780F" w:rsidRDefault="00755D85">
      <w:r w:rsidRPr="0003780F">
        <w:separator/>
      </w:r>
    </w:p>
  </w:endnote>
  <w:endnote w:type="continuationSeparator" w:id="0">
    <w:p w14:paraId="172447BD" w14:textId="77777777" w:rsidR="00755D85" w:rsidRPr="0003780F" w:rsidRDefault="00755D85">
      <w:r w:rsidRPr="000378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D369" w14:textId="77777777" w:rsidR="00064002" w:rsidRPr="000378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8AAA" w14:textId="77777777" w:rsidR="00064002" w:rsidRPr="000378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CDE6F" w14:textId="77777777" w:rsidR="00064002" w:rsidRPr="000378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2691C" w14:textId="77777777" w:rsidR="00755D85" w:rsidRPr="0003780F" w:rsidRDefault="00755D85">
      <w:r w:rsidRPr="0003780F">
        <w:separator/>
      </w:r>
    </w:p>
  </w:footnote>
  <w:footnote w:type="continuationSeparator" w:id="0">
    <w:p w14:paraId="76DF3A1C" w14:textId="77777777" w:rsidR="00755D85" w:rsidRPr="0003780F" w:rsidRDefault="00755D85">
      <w:r w:rsidRPr="0003780F">
        <w:continuationSeparator/>
      </w:r>
    </w:p>
  </w:footnote>
  <w:footnote w:id="1">
    <w:p w14:paraId="0E2CDB6A" w14:textId="1E450F8B" w:rsidR="0045443F" w:rsidRPr="0003780F" w:rsidRDefault="0045443F" w:rsidP="0003780F">
      <w:pPr>
        <w:pStyle w:val="FootnoteText"/>
        <w:ind w:left="567" w:hanging="567"/>
        <w:rPr>
          <w:sz w:val="24"/>
          <w:lang w:val="es-ES_tradnl"/>
        </w:rPr>
      </w:pPr>
      <w:r w:rsidRPr="0003780F">
        <w:rPr>
          <w:rStyle w:val="FootnoteReference"/>
          <w:sz w:val="24"/>
          <w:lang w:val="es-ES_tradnl"/>
        </w:rPr>
        <w:footnoteRef/>
      </w:r>
      <w:r w:rsidR="0003780F" w:rsidRPr="0003780F">
        <w:rPr>
          <w:sz w:val="24"/>
          <w:lang w:val="es-ES_tradnl"/>
        </w:rPr>
        <w:t xml:space="preserve"> </w:t>
      </w:r>
      <w:r w:rsidR="0003780F" w:rsidRPr="0003780F">
        <w:rPr>
          <w:sz w:val="24"/>
          <w:lang w:val="es-ES_tradnl"/>
        </w:rPr>
        <w:tab/>
      </w:r>
      <w:r w:rsidRPr="0003780F">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03780F">
        <w:rPr>
          <w:sz w:val="24"/>
          <w:lang w:val="es-ES_tradnl"/>
        </w:rPr>
        <w:t>Gollnisch</w:t>
      </w:r>
      <w:proofErr w:type="spellEnd"/>
      <w:r w:rsidRPr="0003780F">
        <w:rPr>
          <w:sz w:val="24"/>
          <w:lang w:val="es-ES_tradnl"/>
        </w:rPr>
        <w:t xml:space="preserve">/Parlamento, T-42/06, ECLI:EU:T:2010:102; sentencia del Tribunal de Justicia de 6 de septiembre de 2011, </w:t>
      </w:r>
      <w:proofErr w:type="spellStart"/>
      <w:r w:rsidRPr="0003780F">
        <w:rPr>
          <w:sz w:val="24"/>
          <w:lang w:val="es-ES_tradnl"/>
        </w:rPr>
        <w:t>Patriciello</w:t>
      </w:r>
      <w:proofErr w:type="spellEnd"/>
      <w:r w:rsidRPr="0003780F">
        <w:rPr>
          <w:sz w:val="24"/>
          <w:lang w:val="es-ES_tradnl"/>
        </w:rPr>
        <w:t xml:space="preserve">, C-163/10, ECLI: EU:C:2011:543; sentencia del Tribunal General de 17 de enero de 2013, </w:t>
      </w:r>
      <w:proofErr w:type="spellStart"/>
      <w:r w:rsidRPr="0003780F">
        <w:rPr>
          <w:sz w:val="24"/>
          <w:lang w:val="es-ES_tradnl"/>
        </w:rPr>
        <w:t>Gollnisch</w:t>
      </w:r>
      <w:proofErr w:type="spellEnd"/>
      <w:r w:rsidRPr="0003780F">
        <w:rPr>
          <w:sz w:val="24"/>
          <w:lang w:val="es-ES_tradnl"/>
        </w:rPr>
        <w:t xml:space="preserve">/Parlamento, T-346/11 y T-347/11, ECLI:EU:T:2013:23; sentencia del Tribunal de Justicia de 19 de diciembre de 2019, Junqueras </w:t>
      </w:r>
      <w:proofErr w:type="spellStart"/>
      <w:r w:rsidRPr="0003780F">
        <w:rPr>
          <w:sz w:val="24"/>
          <w:lang w:val="es-ES_tradnl"/>
        </w:rPr>
        <w:t>Vies</w:t>
      </w:r>
      <w:proofErr w:type="spellEnd"/>
      <w:r w:rsidRPr="0003780F">
        <w:rPr>
          <w:sz w:val="24"/>
          <w:lang w:val="es-ES_tradnl"/>
        </w:rPr>
        <w:t xml:space="preserve">, C-502/19, ECLI:EU:C:2019:1115; sentencia del Tribunal General de 5 de julio de 2023, Puigdemont i </w:t>
      </w:r>
      <w:proofErr w:type="spellStart"/>
      <w:r w:rsidRPr="0003780F">
        <w:rPr>
          <w:sz w:val="24"/>
          <w:lang w:val="es-ES_tradnl"/>
        </w:rPr>
        <w:t>Casamajó</w:t>
      </w:r>
      <w:proofErr w:type="spellEnd"/>
      <w:r w:rsidRPr="0003780F">
        <w:rPr>
          <w:sz w:val="24"/>
          <w:lang w:val="es-ES_tradnl"/>
        </w:rPr>
        <w:t xml:space="preserve"> y otros/Parlamento, T-272/21, ECLI:EU:T:2023:373.</w:t>
      </w:r>
    </w:p>
  </w:footnote>
  <w:footnote w:id="2">
    <w:p w14:paraId="69EA2F8C" w14:textId="64E36F87" w:rsidR="0045443F" w:rsidRPr="0003780F" w:rsidRDefault="0045443F" w:rsidP="0003780F">
      <w:pPr>
        <w:pStyle w:val="FootnoteText"/>
        <w:ind w:left="567" w:hanging="567"/>
        <w:rPr>
          <w:sz w:val="24"/>
          <w:lang w:val="es-ES_tradnl"/>
        </w:rPr>
      </w:pPr>
      <w:r w:rsidRPr="0003780F">
        <w:rPr>
          <w:rStyle w:val="FootnoteReference"/>
          <w:sz w:val="24"/>
          <w:lang w:val="es-ES_tradnl"/>
        </w:rPr>
        <w:footnoteRef/>
      </w:r>
      <w:r w:rsidR="0003780F" w:rsidRPr="0003780F">
        <w:rPr>
          <w:sz w:val="24"/>
          <w:lang w:val="es-ES_tradnl"/>
        </w:rPr>
        <w:t xml:space="preserve"> </w:t>
      </w:r>
      <w:r w:rsidR="0003780F" w:rsidRPr="0003780F">
        <w:rPr>
          <w:sz w:val="24"/>
          <w:lang w:val="es-ES_tradnl"/>
        </w:rPr>
        <w:tab/>
      </w:r>
      <w:r w:rsidRPr="0003780F">
        <w:rPr>
          <w:sz w:val="24"/>
          <w:lang w:val="es-ES_tradnl"/>
        </w:rPr>
        <w:t xml:space="preserve">Sentencia del Tribunal General de 30 de abril de 2019, </w:t>
      </w:r>
      <w:proofErr w:type="spellStart"/>
      <w:r w:rsidRPr="0003780F">
        <w:rPr>
          <w:sz w:val="24"/>
          <w:lang w:val="es-ES_tradnl"/>
        </w:rPr>
        <w:t>Briois</w:t>
      </w:r>
      <w:proofErr w:type="spellEnd"/>
      <w:r w:rsidRPr="0003780F">
        <w:rPr>
          <w:sz w:val="24"/>
          <w:lang w:val="es-ES_tradnl"/>
        </w:rPr>
        <w:t>/Parlamento, T-214/18, ECLI:</w:t>
      </w:r>
      <w:proofErr w:type="gramStart"/>
      <w:r w:rsidRPr="0003780F">
        <w:rPr>
          <w:sz w:val="24"/>
          <w:lang w:val="es-ES_tradnl"/>
        </w:rPr>
        <w:t>EU:T</w:t>
      </w:r>
      <w:proofErr w:type="gramEnd"/>
      <w:r w:rsidRPr="0003780F">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8736" w14:textId="77777777" w:rsidR="00064002" w:rsidRPr="000378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5D9F4" w14:textId="77777777" w:rsidR="00064002" w:rsidRPr="000378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26DB9" w14:textId="77777777" w:rsidR="00064002" w:rsidRPr="000378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2910239">
    <w:abstractNumId w:val="9"/>
  </w:num>
  <w:num w:numId="2" w16cid:durableId="1505124555">
    <w:abstractNumId w:val="9"/>
  </w:num>
  <w:num w:numId="3" w16cid:durableId="248078484">
    <w:abstractNumId w:val="7"/>
  </w:num>
  <w:num w:numId="4" w16cid:durableId="303968154">
    <w:abstractNumId w:val="7"/>
  </w:num>
  <w:num w:numId="5" w16cid:durableId="1526752861">
    <w:abstractNumId w:val="6"/>
  </w:num>
  <w:num w:numId="6" w16cid:durableId="188299525">
    <w:abstractNumId w:val="6"/>
  </w:num>
  <w:num w:numId="7" w16cid:durableId="2064208573">
    <w:abstractNumId w:val="5"/>
  </w:num>
  <w:num w:numId="8" w16cid:durableId="204416084">
    <w:abstractNumId w:val="5"/>
  </w:num>
  <w:num w:numId="9" w16cid:durableId="1524202255">
    <w:abstractNumId w:val="4"/>
  </w:num>
  <w:num w:numId="10" w16cid:durableId="395665178">
    <w:abstractNumId w:val="4"/>
  </w:num>
  <w:num w:numId="11" w16cid:durableId="720859719">
    <w:abstractNumId w:val="8"/>
  </w:num>
  <w:num w:numId="12" w16cid:durableId="820467881">
    <w:abstractNumId w:val="8"/>
  </w:num>
  <w:num w:numId="13" w16cid:durableId="791677382">
    <w:abstractNumId w:val="3"/>
  </w:num>
  <w:num w:numId="14" w16cid:durableId="2063404023">
    <w:abstractNumId w:val="3"/>
  </w:num>
  <w:num w:numId="15" w16cid:durableId="1393193627">
    <w:abstractNumId w:val="2"/>
  </w:num>
  <w:num w:numId="16" w16cid:durableId="593443696">
    <w:abstractNumId w:val="2"/>
  </w:num>
  <w:num w:numId="17" w16cid:durableId="1802839706">
    <w:abstractNumId w:val="1"/>
  </w:num>
  <w:num w:numId="18" w16cid:durableId="1937512994">
    <w:abstractNumId w:val="1"/>
  </w:num>
  <w:num w:numId="19" w16cid:durableId="918558995">
    <w:abstractNumId w:val="0"/>
  </w:num>
  <w:num w:numId="20" w16cid:durableId="894664066">
    <w:abstractNumId w:val="0"/>
  </w:num>
  <w:num w:numId="21" w16cid:durableId="1886141813">
    <w:abstractNumId w:val="9"/>
  </w:num>
  <w:num w:numId="22" w16cid:durableId="1029188092">
    <w:abstractNumId w:val="7"/>
  </w:num>
  <w:num w:numId="23" w16cid:durableId="987856646">
    <w:abstractNumId w:val="6"/>
  </w:num>
  <w:num w:numId="24" w16cid:durableId="1081483176">
    <w:abstractNumId w:val="5"/>
  </w:num>
  <w:num w:numId="25" w16cid:durableId="236987686">
    <w:abstractNumId w:val="4"/>
  </w:num>
  <w:num w:numId="26" w16cid:durableId="1409110494">
    <w:abstractNumId w:val="8"/>
  </w:num>
  <w:num w:numId="27" w16cid:durableId="2011134466">
    <w:abstractNumId w:val="3"/>
  </w:num>
  <w:num w:numId="28" w16cid:durableId="1913006767">
    <w:abstractNumId w:val="2"/>
  </w:num>
  <w:num w:numId="29" w16cid:durableId="1546212571">
    <w:abstractNumId w:val="1"/>
  </w:num>
  <w:num w:numId="30" w16cid:durableId="1514032461">
    <w:abstractNumId w:val="0"/>
  </w:num>
  <w:num w:numId="31" w16cid:durableId="1239098119">
    <w:abstractNumId w:val="9"/>
  </w:num>
  <w:num w:numId="32" w16cid:durableId="795752572">
    <w:abstractNumId w:val="7"/>
  </w:num>
  <w:num w:numId="33" w16cid:durableId="302852561">
    <w:abstractNumId w:val="6"/>
  </w:num>
  <w:num w:numId="34" w16cid:durableId="1159997364">
    <w:abstractNumId w:val="5"/>
  </w:num>
  <w:num w:numId="35" w16cid:durableId="1850869025">
    <w:abstractNumId w:val="4"/>
  </w:num>
  <w:num w:numId="36" w16cid:durableId="1508203819">
    <w:abstractNumId w:val="8"/>
  </w:num>
  <w:num w:numId="37" w16cid:durableId="697198600">
    <w:abstractNumId w:val="3"/>
  </w:num>
  <w:num w:numId="38" w16cid:durableId="335889664">
    <w:abstractNumId w:val="2"/>
  </w:num>
  <w:num w:numId="39" w16cid:durableId="1348286782">
    <w:abstractNumId w:val="1"/>
  </w:num>
  <w:num w:numId="40" w16cid:durableId="1053965023">
    <w:abstractNumId w:val="0"/>
  </w:num>
  <w:num w:numId="41" w16cid:durableId="408308788">
    <w:abstractNumId w:val="10"/>
  </w:num>
  <w:num w:numId="42" w16cid:durableId="1651865911">
    <w:abstractNumId w:val="10"/>
  </w:num>
  <w:num w:numId="43" w16cid:durableId="960653192">
    <w:abstractNumId w:val="10"/>
  </w:num>
  <w:num w:numId="44" w16cid:durableId="1296109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ES"/>
    <w:docVar w:name="dvnumam" w:val="0"/>
    <w:docVar w:name="dvpe" w:val="781.254"/>
    <w:docVar w:name="dvrapporteur" w:val="Ponente: "/>
    <w:docVar w:name="dvtitre" w:val="Resolución del Parlamento Europeo, de 10 de febrero de 2026, sobre el suplicatorio de suspensión de la inmunidad de Petr Bystron(2025/2077(IMM))"/>
  </w:docVars>
  <w:rsids>
    <w:rsidRoot w:val="00755D85"/>
    <w:rsid w:val="00002272"/>
    <w:rsid w:val="0003780F"/>
    <w:rsid w:val="000451F9"/>
    <w:rsid w:val="00064002"/>
    <w:rsid w:val="000677B9"/>
    <w:rsid w:val="000831BA"/>
    <w:rsid w:val="000A42CC"/>
    <w:rsid w:val="000E7DD9"/>
    <w:rsid w:val="0010095E"/>
    <w:rsid w:val="00125B37"/>
    <w:rsid w:val="00187494"/>
    <w:rsid w:val="001F0284"/>
    <w:rsid w:val="001F32AE"/>
    <w:rsid w:val="002767FF"/>
    <w:rsid w:val="0028585E"/>
    <w:rsid w:val="002B18FE"/>
    <w:rsid w:val="002B5493"/>
    <w:rsid w:val="00343214"/>
    <w:rsid w:val="00356649"/>
    <w:rsid w:val="00361C00"/>
    <w:rsid w:val="00395FA1"/>
    <w:rsid w:val="003E15D4"/>
    <w:rsid w:val="003F0654"/>
    <w:rsid w:val="00411CCE"/>
    <w:rsid w:val="0041666E"/>
    <w:rsid w:val="00421060"/>
    <w:rsid w:val="0045443F"/>
    <w:rsid w:val="00471C19"/>
    <w:rsid w:val="004867E3"/>
    <w:rsid w:val="00494A28"/>
    <w:rsid w:val="004C0004"/>
    <w:rsid w:val="004C5D52"/>
    <w:rsid w:val="0050519A"/>
    <w:rsid w:val="005072A1"/>
    <w:rsid w:val="00514517"/>
    <w:rsid w:val="00545827"/>
    <w:rsid w:val="00555274"/>
    <w:rsid w:val="00560270"/>
    <w:rsid w:val="005745DB"/>
    <w:rsid w:val="005C2568"/>
    <w:rsid w:val="005D1C52"/>
    <w:rsid w:val="005F1B17"/>
    <w:rsid w:val="006037C0"/>
    <w:rsid w:val="006631B6"/>
    <w:rsid w:val="00680577"/>
    <w:rsid w:val="006F74FA"/>
    <w:rsid w:val="00731ADD"/>
    <w:rsid w:val="00734777"/>
    <w:rsid w:val="00747932"/>
    <w:rsid w:val="00751A4A"/>
    <w:rsid w:val="00755D85"/>
    <w:rsid w:val="00756632"/>
    <w:rsid w:val="00762C74"/>
    <w:rsid w:val="00786EC0"/>
    <w:rsid w:val="007D1690"/>
    <w:rsid w:val="007E22AD"/>
    <w:rsid w:val="007E4B42"/>
    <w:rsid w:val="00817416"/>
    <w:rsid w:val="00842779"/>
    <w:rsid w:val="00865F67"/>
    <w:rsid w:val="00881A7B"/>
    <w:rsid w:val="008840E5"/>
    <w:rsid w:val="00887B3E"/>
    <w:rsid w:val="008C2AC6"/>
    <w:rsid w:val="00930C23"/>
    <w:rsid w:val="0093193B"/>
    <w:rsid w:val="009509D8"/>
    <w:rsid w:val="00950B64"/>
    <w:rsid w:val="00981893"/>
    <w:rsid w:val="009D54E4"/>
    <w:rsid w:val="00A1687D"/>
    <w:rsid w:val="00A43E52"/>
    <w:rsid w:val="00A4678D"/>
    <w:rsid w:val="00A778C7"/>
    <w:rsid w:val="00AB441E"/>
    <w:rsid w:val="00AB6293"/>
    <w:rsid w:val="00AE0928"/>
    <w:rsid w:val="00AF3B82"/>
    <w:rsid w:val="00B12E95"/>
    <w:rsid w:val="00B22876"/>
    <w:rsid w:val="00B558F0"/>
    <w:rsid w:val="00B642A9"/>
    <w:rsid w:val="00BD48FE"/>
    <w:rsid w:val="00BD7BD8"/>
    <w:rsid w:val="00BE1C43"/>
    <w:rsid w:val="00BE6ADC"/>
    <w:rsid w:val="00C05BFE"/>
    <w:rsid w:val="00C23CD4"/>
    <w:rsid w:val="00C61C0C"/>
    <w:rsid w:val="00C62A3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297"/>
    <w:rsid w:val="00F87713"/>
    <w:rsid w:val="00F93871"/>
    <w:rsid w:val="00FB4360"/>
    <w:rsid w:val="00FC69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6700A"/>
  <w15:chartTrackingRefBased/>
  <w15:docId w15:val="{36F74C8B-C812-4CED-B69D-468EE67D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5443F"/>
    <w:pPr>
      <w:spacing w:after="240"/>
      <w:ind w:left="567" w:hanging="567"/>
    </w:pPr>
  </w:style>
  <w:style w:type="paragraph" w:customStyle="1" w:styleId="EPComma">
    <w:name w:val="EPComma"/>
    <w:basedOn w:val="Normal"/>
    <w:rsid w:val="0045443F"/>
    <w:pPr>
      <w:spacing w:before="480" w:after="240"/>
    </w:pPr>
  </w:style>
  <w:style w:type="paragraph" w:styleId="Revision">
    <w:name w:val="Revision"/>
    <w:hidden/>
    <w:uiPriority w:val="99"/>
    <w:semiHidden/>
    <w:rsid w:val="007E4B42"/>
    <w:rPr>
      <w:sz w:val="24"/>
      <w:lang w:val="es-ES_tradnl"/>
    </w:rPr>
  </w:style>
  <w:style w:type="character" w:styleId="CommentReference">
    <w:name w:val="annotation reference"/>
    <w:basedOn w:val="DefaultParagraphFont"/>
    <w:rsid w:val="007E4B42"/>
    <w:rPr>
      <w:sz w:val="16"/>
      <w:szCs w:val="16"/>
    </w:rPr>
  </w:style>
  <w:style w:type="paragraph" w:styleId="CommentText">
    <w:name w:val="annotation text"/>
    <w:basedOn w:val="Normal"/>
    <w:link w:val="CommentTextChar"/>
    <w:rsid w:val="007E4B42"/>
    <w:rPr>
      <w:sz w:val="20"/>
    </w:rPr>
  </w:style>
  <w:style w:type="character" w:customStyle="1" w:styleId="CommentTextChar">
    <w:name w:val="Comment Text Char"/>
    <w:basedOn w:val="DefaultParagraphFont"/>
    <w:link w:val="CommentText"/>
    <w:rsid w:val="007E4B42"/>
    <w:rPr>
      <w:lang w:val="es-ES_tradnl"/>
    </w:rPr>
  </w:style>
  <w:style w:type="paragraph" w:styleId="CommentSubject">
    <w:name w:val="annotation subject"/>
    <w:basedOn w:val="CommentText"/>
    <w:next w:val="CommentText"/>
    <w:link w:val="CommentSubjectChar"/>
    <w:rsid w:val="007E4B42"/>
    <w:rPr>
      <w:b/>
      <w:bCs/>
    </w:rPr>
  </w:style>
  <w:style w:type="character" w:customStyle="1" w:styleId="CommentSubjectChar">
    <w:name w:val="Comment Subject Char"/>
    <w:basedOn w:val="CommentTextChar"/>
    <w:link w:val="CommentSubject"/>
    <w:rsid w:val="007E4B4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804709">
      <w:bodyDiv w:val="1"/>
      <w:marLeft w:val="0"/>
      <w:marRight w:val="0"/>
      <w:marTop w:val="0"/>
      <w:marBottom w:val="0"/>
      <w:divBdr>
        <w:top w:val="none" w:sz="0" w:space="0" w:color="auto"/>
        <w:left w:val="none" w:sz="0" w:space="0" w:color="auto"/>
        <w:bottom w:val="none" w:sz="0" w:space="0" w:color="auto"/>
        <w:right w:val="none" w:sz="0" w:space="0" w:color="auto"/>
      </w:divBdr>
    </w:div>
    <w:div w:id="190212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MLG_Relfinale</cp:lastModifiedBy>
  <cp:revision>2</cp:revision>
  <cp:lastPrinted>2004-11-19T15:42:00Z</cp:lastPrinted>
  <dcterms:created xsi:type="dcterms:W3CDTF">2026-02-10T13:07:00Z</dcterms:created>
  <dcterms:modified xsi:type="dcterms:W3CDTF">2026-02-10T13:07:00Z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A10-0009/2026</vt:lpwstr>
  </property>
  <property fmtid="{D5CDD505-2E9C-101B-9397-08002B2CF9AE}" pid="4" name="&lt;Type&gt;">
    <vt:lpwstr>RR</vt:lpwstr>
  </property>
</Properties>
</file>