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D4FF3" w14:paraId="5E8701B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C5C9F36" w14:textId="77777777" w:rsidR="00751A4A" w:rsidRPr="00AD4FF3" w:rsidRDefault="001D443F" w:rsidP="0010095E">
            <w:pPr>
              <w:pStyle w:val="EPName"/>
            </w:pPr>
            <w:r w:rsidRPr="00AD4FF3">
              <w:t>Euroopan parlamentti</w:t>
            </w:r>
          </w:p>
          <w:p w14:paraId="6854CFE1" w14:textId="77777777" w:rsidR="00751A4A" w:rsidRPr="00AD4FF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D4FF3">
              <w:t>2024</w:t>
            </w:r>
            <w:r w:rsidR="00817416" w:rsidRPr="00AD4FF3">
              <w:t>-202</w:t>
            </w:r>
            <w:r w:rsidRPr="00AD4FF3">
              <w:t>9</w:t>
            </w:r>
          </w:p>
        </w:tc>
        <w:tc>
          <w:tcPr>
            <w:tcW w:w="2268" w:type="dxa"/>
            <w:shd w:val="clear" w:color="auto" w:fill="auto"/>
          </w:tcPr>
          <w:p w14:paraId="18B7CED8" w14:textId="77777777" w:rsidR="00751A4A" w:rsidRPr="00AD4FF3" w:rsidRDefault="00187494" w:rsidP="0010095E">
            <w:pPr>
              <w:pStyle w:val="EPLogo"/>
            </w:pPr>
            <w:r w:rsidRPr="00AD4FF3">
              <w:rPr>
                <w:noProof/>
                <w:lang w:eastAsia="ja-JP"/>
              </w:rPr>
              <w:drawing>
                <wp:inline distT="0" distB="0" distL="0" distR="0" wp14:anchorId="32B2F472" wp14:editId="165882C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59D418" w14:textId="77777777" w:rsidR="00D058B8" w:rsidRPr="00AD4FF3" w:rsidRDefault="00D058B8" w:rsidP="004C5D52">
      <w:pPr>
        <w:pStyle w:val="LineTop"/>
      </w:pPr>
    </w:p>
    <w:p w14:paraId="1D2A9E46" w14:textId="77777777" w:rsidR="00680577" w:rsidRPr="00AD4FF3" w:rsidRDefault="001D443F" w:rsidP="00680577">
      <w:pPr>
        <w:pStyle w:val="EPBodyTA1"/>
      </w:pPr>
      <w:r w:rsidRPr="00AD4FF3">
        <w:t>HYVÄKSYTYT TEKSTIT</w:t>
      </w:r>
    </w:p>
    <w:p w14:paraId="07069928" w14:textId="77777777" w:rsidR="00D058B8" w:rsidRPr="00AD4FF3" w:rsidRDefault="00D058B8" w:rsidP="00D058B8">
      <w:pPr>
        <w:pStyle w:val="LineBottom"/>
      </w:pPr>
    </w:p>
    <w:p w14:paraId="232E5013" w14:textId="7335B297" w:rsidR="001D443F" w:rsidRPr="00AD4FF3" w:rsidRDefault="001D443F" w:rsidP="001D443F">
      <w:pPr>
        <w:pStyle w:val="ATHeading1"/>
      </w:pPr>
      <w:bookmarkStart w:id="0" w:name="TANumber"/>
      <w:r w:rsidRPr="00AD4FF3">
        <w:t>P10_TA(2026)00</w:t>
      </w:r>
      <w:r w:rsidR="00AD4FF3" w:rsidRPr="00AD4FF3">
        <w:t>27</w:t>
      </w:r>
      <w:bookmarkEnd w:id="0"/>
    </w:p>
    <w:p w14:paraId="42C2B9C0" w14:textId="77777777" w:rsidR="001D443F" w:rsidRPr="00AD4FF3" w:rsidRDefault="001D443F" w:rsidP="001D443F">
      <w:pPr>
        <w:pStyle w:val="ATHeading2"/>
      </w:pPr>
      <w:bookmarkStart w:id="1" w:name="title"/>
      <w:proofErr w:type="spellStart"/>
      <w:r w:rsidRPr="00AD4FF3">
        <w:t>Petr</w:t>
      </w:r>
      <w:proofErr w:type="spellEnd"/>
      <w:r w:rsidRPr="00AD4FF3">
        <w:t xml:space="preserve"> </w:t>
      </w:r>
      <w:proofErr w:type="spellStart"/>
      <w:r w:rsidRPr="00AD4FF3">
        <w:t>Bystronin</w:t>
      </w:r>
      <w:proofErr w:type="spellEnd"/>
      <w:r w:rsidRPr="00AD4FF3">
        <w:t xml:space="preserve"> koskemattomuuden pidättämistä koskeva pyyntö</w:t>
      </w:r>
      <w:bookmarkEnd w:id="1"/>
    </w:p>
    <w:p w14:paraId="435CD437" w14:textId="77777777" w:rsidR="001D443F" w:rsidRPr="00AD4FF3" w:rsidRDefault="001D443F" w:rsidP="001D443F">
      <w:pPr>
        <w:rPr>
          <w:i/>
          <w:vanish/>
        </w:rPr>
      </w:pPr>
      <w:r w:rsidRPr="00AD4FF3">
        <w:rPr>
          <w:i/>
        </w:rPr>
        <w:fldChar w:fldCharType="begin"/>
      </w:r>
      <w:r w:rsidRPr="00AD4FF3">
        <w:rPr>
          <w:i/>
        </w:rPr>
        <w:instrText xml:space="preserve"> TC"(</w:instrText>
      </w:r>
      <w:bookmarkStart w:id="2" w:name="DocNumber"/>
      <w:r w:rsidRPr="00AD4FF3">
        <w:rPr>
          <w:i/>
        </w:rPr>
        <w:instrText>A10-0009/2026</w:instrText>
      </w:r>
      <w:bookmarkEnd w:id="2"/>
      <w:r w:rsidRPr="00AD4FF3">
        <w:rPr>
          <w:i/>
        </w:rPr>
        <w:instrText xml:space="preserve"> - Esittelijä: </w:instrText>
      </w:r>
      <w:proofErr w:type="spellStart"/>
      <w:r w:rsidRPr="00AD4FF3">
        <w:rPr>
          <w:i/>
        </w:rPr>
        <w:instrText>Adrián</w:instrText>
      </w:r>
      <w:proofErr w:type="spellEnd"/>
      <w:r w:rsidRPr="00AD4FF3">
        <w:rPr>
          <w:i/>
        </w:rPr>
        <w:instrText xml:space="preserve"> </w:instrText>
      </w:r>
      <w:proofErr w:type="spellStart"/>
      <w:r w:rsidRPr="00AD4FF3">
        <w:rPr>
          <w:i/>
        </w:rPr>
        <w:instrText>Vázquez</w:instrText>
      </w:r>
      <w:proofErr w:type="spellEnd"/>
      <w:r w:rsidRPr="00AD4FF3">
        <w:rPr>
          <w:i/>
        </w:rPr>
        <w:instrText xml:space="preserve"> </w:instrText>
      </w:r>
      <w:proofErr w:type="spellStart"/>
      <w:r w:rsidRPr="00AD4FF3">
        <w:rPr>
          <w:i/>
        </w:rPr>
        <w:instrText>Lázara</w:instrText>
      </w:r>
      <w:proofErr w:type="spellEnd"/>
      <w:r w:rsidRPr="00AD4FF3">
        <w:rPr>
          <w:i/>
        </w:rPr>
        <w:instrText xml:space="preserve">)"\l3 \n&gt; \* MERGEFORMAT </w:instrText>
      </w:r>
      <w:r w:rsidRPr="00AD4FF3">
        <w:rPr>
          <w:i/>
        </w:rPr>
        <w:fldChar w:fldCharType="end"/>
      </w:r>
    </w:p>
    <w:p w14:paraId="5B46172C" w14:textId="77777777" w:rsidR="001D443F" w:rsidRPr="00AD4FF3" w:rsidRDefault="001D443F" w:rsidP="001D443F">
      <w:pPr>
        <w:rPr>
          <w:vanish/>
        </w:rPr>
      </w:pPr>
      <w:bookmarkStart w:id="3" w:name="Commission"/>
      <w:r w:rsidRPr="00AD4FF3">
        <w:rPr>
          <w:vanish/>
        </w:rPr>
        <w:t>Oikeudellisten asioiden valiokunta</w:t>
      </w:r>
      <w:bookmarkEnd w:id="3"/>
    </w:p>
    <w:p w14:paraId="2AF3E0FB" w14:textId="77777777" w:rsidR="001D443F" w:rsidRPr="00AD4FF3" w:rsidRDefault="001D443F" w:rsidP="001D443F">
      <w:pPr>
        <w:rPr>
          <w:vanish/>
        </w:rPr>
      </w:pPr>
      <w:bookmarkStart w:id="4" w:name="PE"/>
      <w:r w:rsidRPr="00AD4FF3">
        <w:rPr>
          <w:vanish/>
        </w:rPr>
        <w:t>PE781.254</w:t>
      </w:r>
      <w:bookmarkEnd w:id="4"/>
    </w:p>
    <w:p w14:paraId="690AC989" w14:textId="58DDC224" w:rsidR="001D443F" w:rsidRPr="00AD4FF3" w:rsidRDefault="001D443F" w:rsidP="001D443F">
      <w:pPr>
        <w:pStyle w:val="ATHeading3"/>
      </w:pPr>
      <w:bookmarkStart w:id="5" w:name="Sujet"/>
      <w:r w:rsidRPr="00AD4FF3">
        <w:t xml:space="preserve">Euroopan parlamentin päätös </w:t>
      </w:r>
      <w:r w:rsidR="00A051BD" w:rsidRPr="00AD4FF3">
        <w:t>10</w:t>
      </w:r>
      <w:r w:rsidRPr="00AD4FF3">
        <w:t xml:space="preserve">. helmikuuta 2026 </w:t>
      </w:r>
      <w:proofErr w:type="spellStart"/>
      <w:r w:rsidRPr="00AD4FF3">
        <w:t>Petr</w:t>
      </w:r>
      <w:proofErr w:type="spellEnd"/>
      <w:r w:rsidRPr="00AD4FF3">
        <w:t xml:space="preserve"> </w:t>
      </w:r>
      <w:proofErr w:type="spellStart"/>
      <w:r w:rsidRPr="00AD4FF3">
        <w:t>Bystronin</w:t>
      </w:r>
      <w:proofErr w:type="spellEnd"/>
      <w:r w:rsidRPr="00AD4FF3">
        <w:t xml:space="preserve"> koskemattomuuden pidättämistä koskevasta pyynnöstä</w:t>
      </w:r>
      <w:bookmarkEnd w:id="5"/>
      <w:r w:rsidRPr="00AD4FF3">
        <w:t xml:space="preserve"> </w:t>
      </w:r>
      <w:bookmarkStart w:id="6" w:name="References"/>
      <w:r w:rsidRPr="00AD4FF3">
        <w:t>(2025/2077(IMM))</w:t>
      </w:r>
      <w:bookmarkEnd w:id="6"/>
    </w:p>
    <w:p w14:paraId="75FF2842" w14:textId="77777777" w:rsidR="008E630B" w:rsidRPr="00AD4FF3" w:rsidRDefault="008E630B" w:rsidP="008E630B">
      <w:pPr>
        <w:pStyle w:val="EPComma"/>
        <w:widowControl/>
      </w:pPr>
      <w:bookmarkStart w:id="7" w:name="TextBodyBegin"/>
      <w:bookmarkEnd w:id="7"/>
      <w:r w:rsidRPr="00AD4FF3">
        <w:rPr>
          <w:i/>
          <w:iCs/>
        </w:rPr>
        <w:t>Euroopan parlamentti</w:t>
      </w:r>
      <w:r w:rsidRPr="00AD4FF3">
        <w:t>, joka</w:t>
      </w:r>
    </w:p>
    <w:p w14:paraId="58B87445" w14:textId="77777777" w:rsidR="008E630B" w:rsidRPr="00AD4FF3" w:rsidRDefault="008E630B" w:rsidP="008E630B">
      <w:pPr>
        <w:pStyle w:val="NormalHanging12a"/>
        <w:widowControl/>
      </w:pPr>
      <w:r w:rsidRPr="00AD4FF3">
        <w:t>–</w:t>
      </w:r>
      <w:r w:rsidRPr="00AD4FF3">
        <w:tab/>
        <w:t xml:space="preserve">ottaa huomioon </w:t>
      </w:r>
      <w:proofErr w:type="spellStart"/>
      <w:r w:rsidRPr="00AD4FF3">
        <w:t>Petr</w:t>
      </w:r>
      <w:proofErr w:type="spellEnd"/>
      <w:r w:rsidRPr="00AD4FF3">
        <w:t xml:space="preserve"> </w:t>
      </w:r>
      <w:proofErr w:type="spellStart"/>
      <w:r w:rsidRPr="00AD4FF3">
        <w:t>Bystronin</w:t>
      </w:r>
      <w:proofErr w:type="spellEnd"/>
      <w:r w:rsidRPr="00AD4FF3">
        <w:t xml:space="preserve"> koskemattomuuden pidättämistä koskevan pyynnön, jonka toimitti Saksan liittovaltion oikeusministeriö 24. lokakuuta 2024 päivätyllä kirjeellä, jossa välitettiin Münchenin pääsyyttäjän pyyntö </w:t>
      </w:r>
      <w:proofErr w:type="spellStart"/>
      <w:r w:rsidRPr="00AD4FF3">
        <w:t>Petr</w:t>
      </w:r>
      <w:proofErr w:type="spellEnd"/>
      <w:r w:rsidRPr="00AD4FF3">
        <w:t xml:space="preserve"> </w:t>
      </w:r>
      <w:proofErr w:type="spellStart"/>
      <w:r w:rsidRPr="00AD4FF3">
        <w:t>Bystronia</w:t>
      </w:r>
      <w:proofErr w:type="spellEnd"/>
      <w:r w:rsidRPr="00AD4FF3">
        <w:t xml:space="preserve"> vastaan vireillä olevassa rikosasiassa, ja josta ilmoitettiin täysistunnossa 3. huhtikuuta 2025,</w:t>
      </w:r>
    </w:p>
    <w:p w14:paraId="3751647E" w14:textId="77777777" w:rsidR="008E630B" w:rsidRPr="00AD4FF3" w:rsidRDefault="008E630B" w:rsidP="008E630B">
      <w:pPr>
        <w:pStyle w:val="NormalHanging12a"/>
        <w:widowControl/>
      </w:pPr>
      <w:r w:rsidRPr="00AD4FF3">
        <w:t>–</w:t>
      </w:r>
      <w:r w:rsidRPr="00AD4FF3">
        <w:tab/>
        <w:t xml:space="preserve">ottaa huomioon, että </w:t>
      </w:r>
      <w:proofErr w:type="spellStart"/>
      <w:r w:rsidRPr="00AD4FF3">
        <w:t>Petr</w:t>
      </w:r>
      <w:proofErr w:type="spellEnd"/>
      <w:r w:rsidRPr="00AD4FF3">
        <w:t xml:space="preserve"> </w:t>
      </w:r>
      <w:proofErr w:type="spellStart"/>
      <w:r w:rsidRPr="00AD4FF3">
        <w:t>Bystronin</w:t>
      </w:r>
      <w:proofErr w:type="spellEnd"/>
      <w:r w:rsidRPr="00AD4FF3">
        <w:t xml:space="preserve"> katsotaan luopuneen oikeudestaan tulla kuulluksi työjärjestyksen 9 artiklan 6 kohdan mukaisesti,</w:t>
      </w:r>
    </w:p>
    <w:p w14:paraId="4888FF0E" w14:textId="77777777" w:rsidR="008E630B" w:rsidRPr="00AD4FF3" w:rsidRDefault="008E630B" w:rsidP="008E630B">
      <w:pPr>
        <w:pStyle w:val="NormalHanging12a"/>
        <w:widowControl/>
      </w:pPr>
      <w:r w:rsidRPr="00AD4FF3">
        <w:t>–</w:t>
      </w:r>
      <w:r w:rsidRPr="00AD4FF3">
        <w:tab/>
        <w:t>ottaa huomioon Euroopan unionin erioikeuksista ja vapauksista tehdyssä pöytäkirjassa N:o 7 olevan 8 ja 9 artiklan sekä Euroopan parlamentin jäsenten valitsemisesta yleisillä välittömillä vaaleilla 20. syyskuuta 1976 annetun säädöksen 6 artiklan 2 kohdan,</w:t>
      </w:r>
    </w:p>
    <w:p w14:paraId="4AAD884A" w14:textId="77777777" w:rsidR="008E630B" w:rsidRPr="00AD4FF3" w:rsidRDefault="008E630B" w:rsidP="008E630B">
      <w:pPr>
        <w:pStyle w:val="NormalHanging12a"/>
        <w:widowControl/>
      </w:pPr>
      <w:r w:rsidRPr="00AD4FF3">
        <w:t>–</w:t>
      </w:r>
      <w:r w:rsidRPr="00AD4FF3">
        <w:tab/>
        <w:t>ottaa huomioon Euroopan unionin tuomioistuimen 21. lokakuuta 2008, 19. maaliskuuta 2010, 6. syyskuuta 2011, 17. tammikuuta 2013, 19. joulukuuta 2019 ja 5. heinäkuuta 2023 antamat tuomiot</w:t>
      </w:r>
      <w:r w:rsidRPr="00AD4FF3">
        <w:rPr>
          <w:vertAlign w:val="superscript"/>
        </w:rPr>
        <w:footnoteReference w:id="1"/>
      </w:r>
      <w:r w:rsidRPr="00AD4FF3">
        <w:t>,</w:t>
      </w:r>
    </w:p>
    <w:p w14:paraId="7E524E4E" w14:textId="77777777" w:rsidR="008E630B" w:rsidRPr="00AD4FF3" w:rsidRDefault="008E630B" w:rsidP="008E630B">
      <w:pPr>
        <w:pStyle w:val="NormalHanging12a"/>
        <w:widowControl/>
      </w:pPr>
      <w:r w:rsidRPr="00AD4FF3">
        <w:t>–</w:t>
      </w:r>
      <w:r w:rsidRPr="00AD4FF3">
        <w:tab/>
        <w:t>ottaa huomioon Saksan liittotasavallan perustuslain 46 pykälän,</w:t>
      </w:r>
    </w:p>
    <w:p w14:paraId="3692F4DB" w14:textId="77777777" w:rsidR="008E630B" w:rsidRPr="00AD4FF3" w:rsidRDefault="008E630B" w:rsidP="008E630B">
      <w:pPr>
        <w:pStyle w:val="NormalHanging12a"/>
        <w:widowControl/>
      </w:pPr>
      <w:r w:rsidRPr="00AD4FF3">
        <w:t>–</w:t>
      </w:r>
      <w:r w:rsidRPr="00AD4FF3">
        <w:tab/>
        <w:t>ottaa huomioon työjärjestyksen 5 artiklan 2 kohdan, 6 artiklan 1 kohdan ja 9 artiklan,</w:t>
      </w:r>
    </w:p>
    <w:p w14:paraId="3EC84C67" w14:textId="77777777" w:rsidR="008E630B" w:rsidRPr="00AD4FF3" w:rsidRDefault="008E630B" w:rsidP="008E630B">
      <w:pPr>
        <w:pStyle w:val="NormalHanging12a"/>
        <w:widowControl/>
      </w:pPr>
      <w:r w:rsidRPr="00AD4FF3">
        <w:lastRenderedPageBreak/>
        <w:t>–</w:t>
      </w:r>
      <w:r w:rsidRPr="00AD4FF3">
        <w:tab/>
        <w:t>ottaa huomioon oikeudellisten asioiden valiokunnan mietinnön (A10-0009/2026),</w:t>
      </w:r>
    </w:p>
    <w:p w14:paraId="2527D2E7" w14:textId="208D53BA" w:rsidR="008E630B" w:rsidRPr="00AD4FF3" w:rsidRDefault="008E630B" w:rsidP="008E630B">
      <w:pPr>
        <w:pStyle w:val="NormalHanging12a"/>
        <w:widowControl/>
      </w:pPr>
      <w:r w:rsidRPr="00AD4FF3">
        <w:t>A.</w:t>
      </w:r>
      <w:r w:rsidRPr="00AD4FF3">
        <w:tab/>
        <w:t xml:space="preserve">ottaa huomioon, että Saksan liittovaltion oikeusministeriö on toimittanut Münchenin pääsyyttäjän pyynnön </w:t>
      </w:r>
      <w:r w:rsidR="00A051BD" w:rsidRPr="00AD4FF3">
        <w:t xml:space="preserve">Saksassa valitun </w:t>
      </w:r>
      <w:r w:rsidRPr="00AD4FF3">
        <w:t xml:space="preserve">Euroopan parlamentin jäsenen </w:t>
      </w:r>
      <w:proofErr w:type="spellStart"/>
      <w:r w:rsidRPr="00AD4FF3">
        <w:t>Petr</w:t>
      </w:r>
      <w:proofErr w:type="spellEnd"/>
      <w:r w:rsidRPr="00AD4FF3">
        <w:t xml:space="preserve"> </w:t>
      </w:r>
      <w:proofErr w:type="spellStart"/>
      <w:r w:rsidRPr="00AD4FF3">
        <w:t>Bystronin</w:t>
      </w:r>
      <w:proofErr w:type="spellEnd"/>
      <w:r w:rsidRPr="00AD4FF3">
        <w:t xml:space="preserve"> koskemattomuuden pidättämisestä sellaisten väitettyjen tekojen yhteydessä, jotka voivat olla Saksan rikoslain 263 pykälän 1 momentissa tarkoitettuja petoksia ja jotka liittyvät väitettyyn väärien tietojen antamiseen kiinteämääräisen korvauksen maksamisen yhteydessä;</w:t>
      </w:r>
    </w:p>
    <w:p w14:paraId="03D2A656" w14:textId="77777777" w:rsidR="008E630B" w:rsidRPr="00AD4FF3" w:rsidRDefault="008E630B" w:rsidP="008E630B">
      <w:pPr>
        <w:pStyle w:val="NormalHanging12a"/>
        <w:widowControl/>
      </w:pPr>
      <w:r w:rsidRPr="00AD4FF3">
        <w:t>B.</w:t>
      </w:r>
      <w:r w:rsidRPr="00AD4FF3">
        <w:tab/>
        <w:t xml:space="preserve">ottaa huomioon, että pyynnössä todetaan </w:t>
      </w:r>
      <w:proofErr w:type="spellStart"/>
      <w:r w:rsidRPr="00AD4FF3">
        <w:t>Petr</w:t>
      </w:r>
      <w:proofErr w:type="spellEnd"/>
      <w:r w:rsidRPr="00AD4FF3">
        <w:t xml:space="preserve"> </w:t>
      </w:r>
      <w:proofErr w:type="spellStart"/>
      <w:r w:rsidRPr="00AD4FF3">
        <w:t>Bystronin</w:t>
      </w:r>
      <w:proofErr w:type="spellEnd"/>
      <w:r w:rsidRPr="00AD4FF3">
        <w:t xml:space="preserve"> olleen Saksan liittopäivien jäsen vuodesta 2017 vuoden 2024 heinäkuuhun; ottaa huomioon, että Saksan liittopäivien jäsenenä hänellä oli liittopäivien jäsenistä annetun lain (</w:t>
      </w:r>
      <w:proofErr w:type="spellStart"/>
      <w:r w:rsidRPr="00AD4FF3">
        <w:t>Abgeordnetengesetz</w:t>
      </w:r>
      <w:proofErr w:type="spellEnd"/>
      <w:r w:rsidRPr="00AD4FF3">
        <w:t xml:space="preserve">, </w:t>
      </w:r>
      <w:proofErr w:type="spellStart"/>
      <w:r w:rsidRPr="00AD4FF3">
        <w:t>AbgG</w:t>
      </w:r>
      <w:proofErr w:type="spellEnd"/>
      <w:r w:rsidRPr="00AD4FF3">
        <w:t xml:space="preserve">) 12 pykälän 3 momentin nojalla oikeus kiinteämääräiseen korvaukseen, joka kattoi muun muassa henkilöstön palvelukseen ottamisen; ottaa huomioon, että </w:t>
      </w:r>
      <w:proofErr w:type="spellStart"/>
      <w:r w:rsidRPr="00AD4FF3">
        <w:t>Petr</w:t>
      </w:r>
      <w:proofErr w:type="spellEnd"/>
      <w:r w:rsidRPr="00AD4FF3">
        <w:t xml:space="preserve"> </w:t>
      </w:r>
      <w:proofErr w:type="spellStart"/>
      <w:r w:rsidRPr="00AD4FF3">
        <w:t>Bystron</w:t>
      </w:r>
      <w:proofErr w:type="spellEnd"/>
      <w:r w:rsidRPr="00AD4FF3">
        <w:t xml:space="preserve"> palkkasi 10. marraskuuta 2021 tehdyllä työsopimuksella henkilöstön jäsenen ”toimistovirkailijaksi/konekirjoittajaksi” Münchenin vaalipiiritoimistoonsa; ottaa huomioon, että toimittamalla työsopimuksen liittopäivien hallinnolle </w:t>
      </w:r>
      <w:proofErr w:type="spellStart"/>
      <w:r w:rsidRPr="00AD4FF3">
        <w:t>Petr</w:t>
      </w:r>
      <w:proofErr w:type="spellEnd"/>
      <w:r w:rsidRPr="00AD4FF3">
        <w:t xml:space="preserve"> </w:t>
      </w:r>
      <w:proofErr w:type="spellStart"/>
      <w:r w:rsidRPr="00AD4FF3">
        <w:t>Bystronin</w:t>
      </w:r>
      <w:proofErr w:type="spellEnd"/>
      <w:r w:rsidRPr="00AD4FF3">
        <w:t xml:space="preserve"> väitetään ilmoittaneen nimenomaisesti, että kyseinen henkilöstön jäsen työskentelisi toimistovirkailijana/konekirjoittajana hänen vaalipiiritoimistossaan; ottaa huomioon, että pyynnössä todetaan, että kyseinen henkilöstön jäsen ei todellisuudessa työskennellyt toimistovirkailijana/konekirjoittajana; ottaa huomioon, että Saksan liittopäivien hallinnon väitetään olettaneen, virheellisesti, työsopimuksessa olevien väärien tietojen vuoksi, että liittopäivien jäsenistä annetun lain 12 pykälän 3 momentin mukaiset edellytykset kiinteämääräisen korvauksen maksamiselle olivat täyttyneet, ja näin ollen antaneen ohjeet palkan maksamisesta kyseiselle henkilöstön jäsenelle (yhteensä noin 14 850 euroa); ottaa huomioon, että pyynnön mukaan </w:t>
      </w:r>
      <w:proofErr w:type="spellStart"/>
      <w:r w:rsidRPr="00AD4FF3">
        <w:t>Petr</w:t>
      </w:r>
      <w:proofErr w:type="spellEnd"/>
      <w:r w:rsidRPr="00AD4FF3">
        <w:t xml:space="preserve"> </w:t>
      </w:r>
      <w:proofErr w:type="spellStart"/>
      <w:r w:rsidRPr="00AD4FF3">
        <w:t>Bystron</w:t>
      </w:r>
      <w:proofErr w:type="spellEnd"/>
      <w:r w:rsidRPr="00AD4FF3">
        <w:t xml:space="preserve"> oli tietoinen näistä olosuhteista ja hänen epäillään näin ollen antaneen tahallisesti vääriä tietoja;</w:t>
      </w:r>
    </w:p>
    <w:p w14:paraId="4343F07B" w14:textId="77777777" w:rsidR="008E630B" w:rsidRPr="00AD4FF3" w:rsidRDefault="008E630B" w:rsidP="008E630B">
      <w:pPr>
        <w:pStyle w:val="NormalHanging12a"/>
        <w:widowControl/>
      </w:pPr>
      <w:r w:rsidRPr="00AD4FF3">
        <w:t>C.</w:t>
      </w:r>
      <w:r w:rsidRPr="00AD4FF3">
        <w:tab/>
        <w:t xml:space="preserve">ottaa huomioon, että </w:t>
      </w:r>
      <w:proofErr w:type="spellStart"/>
      <w:r w:rsidRPr="00AD4FF3">
        <w:t>Petr</w:t>
      </w:r>
      <w:proofErr w:type="spellEnd"/>
      <w:r w:rsidRPr="00AD4FF3">
        <w:t xml:space="preserve"> </w:t>
      </w:r>
      <w:proofErr w:type="spellStart"/>
      <w:r w:rsidRPr="00AD4FF3">
        <w:t>Bystron</w:t>
      </w:r>
      <w:proofErr w:type="spellEnd"/>
      <w:r w:rsidRPr="00AD4FF3">
        <w:t xml:space="preserve"> valittiin Euroopan parlamenttiin Euroopan parlamentin vaaleissa kesäkuussa 2024 ja hän ei ollut Euroopan parlamentin jäsen väitetyn rikoksen tekohetkellä;</w:t>
      </w:r>
    </w:p>
    <w:p w14:paraId="206D8437" w14:textId="77777777" w:rsidR="008E630B" w:rsidRPr="00AD4FF3" w:rsidRDefault="008E630B" w:rsidP="008E630B">
      <w:pPr>
        <w:pStyle w:val="NormalHanging12a"/>
        <w:widowControl/>
      </w:pPr>
      <w:r w:rsidRPr="00AD4FF3">
        <w:t>D.</w:t>
      </w:r>
      <w:r w:rsidRPr="00AD4FF3">
        <w:tab/>
        <w:t xml:space="preserve">ottaa huomioon, että väitetty rikos ja sen </w:t>
      </w:r>
      <w:proofErr w:type="gramStart"/>
      <w:r w:rsidRPr="00AD4FF3">
        <w:t>johdosta</w:t>
      </w:r>
      <w:proofErr w:type="gramEnd"/>
      <w:r w:rsidRPr="00AD4FF3">
        <w:t xml:space="preserve"> esitetty </w:t>
      </w:r>
      <w:proofErr w:type="spellStart"/>
      <w:r w:rsidRPr="00AD4FF3">
        <w:t>Petr</w:t>
      </w:r>
      <w:proofErr w:type="spellEnd"/>
      <w:r w:rsidRPr="00AD4FF3">
        <w:t xml:space="preserve"> </w:t>
      </w:r>
      <w:proofErr w:type="spellStart"/>
      <w:r w:rsidRPr="00AD4FF3">
        <w:t>Bystronin</w:t>
      </w:r>
      <w:proofErr w:type="spellEnd"/>
      <w:r w:rsidRPr="00AD4FF3">
        <w:t xml:space="preserve"> koskemattomuuden pidättämistä koskeva pyyntö eivät liity </w:t>
      </w:r>
      <w:proofErr w:type="spellStart"/>
      <w:r w:rsidRPr="00AD4FF3">
        <w:t>Petr</w:t>
      </w:r>
      <w:proofErr w:type="spellEnd"/>
      <w:r w:rsidRPr="00AD4FF3">
        <w:t xml:space="preserve"> </w:t>
      </w:r>
      <w:proofErr w:type="spellStart"/>
      <w:r w:rsidRPr="00AD4FF3">
        <w:t>Bystronin</w:t>
      </w:r>
      <w:proofErr w:type="spellEnd"/>
      <w:r w:rsidRPr="00AD4FF3">
        <w:t xml:space="preserve"> tehtäviään hoitaessaan ilmaisemaan mielipiteeseen tai hänen äänestykseensä Euroopan unionin erioikeuksista ja vapauksista tehdyssä pöytäkirjassa N:o 7 olevassa 8 artiklassa tarkoitetulla tavalla;</w:t>
      </w:r>
    </w:p>
    <w:p w14:paraId="2475EA2E" w14:textId="37607452" w:rsidR="008E630B" w:rsidRPr="00AD4FF3" w:rsidRDefault="008E630B" w:rsidP="008E630B">
      <w:pPr>
        <w:pStyle w:val="NormalHanging12a"/>
        <w:widowControl/>
      </w:pPr>
      <w:r w:rsidRPr="00AD4FF3">
        <w:t>E.</w:t>
      </w:r>
      <w:r w:rsidRPr="00AD4FF3">
        <w:tab/>
        <w:t xml:space="preserve">ottaa huomioon, että Euroopan unionin erioikeuksista ja vapauksista tehdyssä pöytäkirjassa N:o 7 olevan 9 artiklan ensimmäisen kohdan a alakohdassa määrätään, että Euroopan parlamentin jäsenillä on sen istuntojen ajan oman valtionsa alueella </w:t>
      </w:r>
      <w:r w:rsidR="00A051BD" w:rsidRPr="00AD4FF3">
        <w:t xml:space="preserve">jäsenvaltionsa </w:t>
      </w:r>
      <w:r w:rsidRPr="00AD4FF3">
        <w:t>kansanedustajille myönnetty koskemattomuus;</w:t>
      </w:r>
    </w:p>
    <w:p w14:paraId="5AA5A307" w14:textId="77777777" w:rsidR="008E630B" w:rsidRPr="00AD4FF3" w:rsidRDefault="008E630B" w:rsidP="008E630B">
      <w:pPr>
        <w:pStyle w:val="NormalHanging12a"/>
        <w:widowControl/>
      </w:pPr>
      <w:r w:rsidRPr="00AD4FF3">
        <w:t>F.</w:t>
      </w:r>
      <w:r w:rsidRPr="00AD4FF3">
        <w:tab/>
        <w:t>ottaa huomioon, että Saksan liittotasavallan perustuslain 46 pykälän 2, 3 ja 4 momentissa säädetään seuraavaa:</w:t>
      </w:r>
    </w:p>
    <w:p w14:paraId="1F6C25DA" w14:textId="4B538CC6" w:rsidR="008E630B" w:rsidRPr="00AD4FF3" w:rsidRDefault="008E630B" w:rsidP="008E630B">
      <w:pPr>
        <w:pStyle w:val="NormalHanging12a"/>
        <w:widowControl/>
        <w:ind w:left="1134"/>
      </w:pPr>
      <w:r w:rsidRPr="00AD4FF3">
        <w:t>”(2)</w:t>
      </w:r>
      <w:r w:rsidRPr="00AD4FF3">
        <w:tab/>
        <w:t>Jäsentä ei voida vaatia vastaamaan tai pidättää rangaistavasta rikkomuksesta ilman liittopäivien suostumusta, ellei häntä tavata itse teosta tai seuraavan päivän kuluessa.</w:t>
      </w:r>
    </w:p>
    <w:p w14:paraId="12F4DBAA" w14:textId="23D83B34" w:rsidR="008E630B" w:rsidRPr="00AD4FF3" w:rsidRDefault="008E630B" w:rsidP="008E630B">
      <w:pPr>
        <w:pStyle w:val="NormalHanging12a"/>
        <w:widowControl/>
        <w:ind w:left="1134"/>
      </w:pPr>
      <w:r w:rsidRPr="00AD4FF3">
        <w:lastRenderedPageBreak/>
        <w:t>(3)</w:t>
      </w:r>
      <w:r w:rsidRPr="00AD4FF3">
        <w:tab/>
        <w:t>Liittopäivien suostumus vaaditaan myös aina, jos jäsenen henkilökohtaista vapautta rajoitetaan tai jos häntä vastaan käynnistetään 18 pykälän mukainen menettely.</w:t>
      </w:r>
    </w:p>
    <w:p w14:paraId="569BB677" w14:textId="3963F8FB" w:rsidR="008E630B" w:rsidRPr="00AD4FF3" w:rsidRDefault="008E630B" w:rsidP="008E630B">
      <w:pPr>
        <w:pStyle w:val="NormalHanging12a"/>
        <w:widowControl/>
        <w:ind w:left="1134"/>
      </w:pPr>
      <w:r w:rsidRPr="00AD4FF3">
        <w:t>(4)</w:t>
      </w:r>
      <w:r w:rsidRPr="00AD4FF3">
        <w:tab/>
        <w:t>Jäsentä vastaan käynnistetyt rikosoikeudelliset menettelyt tai 18 pykälän mukaiset menettelyt tai pidätys taikka muu jäsenen henkilökohtaisen vapauden rajoittaminen on keskeytettävä liittopäivien vaatimuksesta.”;</w:t>
      </w:r>
    </w:p>
    <w:p w14:paraId="2EB3C56E" w14:textId="77777777" w:rsidR="008E630B" w:rsidRPr="00AD4FF3" w:rsidRDefault="008E630B" w:rsidP="008E630B">
      <w:pPr>
        <w:pStyle w:val="NormalHanging12a"/>
        <w:widowControl/>
      </w:pPr>
      <w:r w:rsidRPr="00AD4FF3">
        <w:t>G.</w:t>
      </w:r>
      <w:r w:rsidRPr="00AD4FF3">
        <w:tab/>
        <w:t>ottaa huomioon, että Euroopan unionin erioikeuksista ja vapauksista tehdyssä pöytäkirjassa N:o 7 määrätyn parlamentaarisen koskemattomuuden tarkoituksena on suojella parlamenttia ja sen jäseniä oikeudenkäynneiltä, jotka liittyvät toimintaan, jota harjoitetaan hoidettaessa parlamentin jäsenten tehtäviä ja jota ei voida erottaa kyseisistä tehtävistä;</w:t>
      </w:r>
    </w:p>
    <w:p w14:paraId="41A9CA67" w14:textId="77777777" w:rsidR="008E630B" w:rsidRPr="00AD4FF3" w:rsidRDefault="008E630B" w:rsidP="008E630B">
      <w:pPr>
        <w:pStyle w:val="NormalHanging12a"/>
        <w:widowControl/>
      </w:pPr>
      <w:r w:rsidRPr="00AD4FF3">
        <w:t>H.</w:t>
      </w:r>
      <w:r w:rsidRPr="00AD4FF3">
        <w:tab/>
        <w:t>ottaa huomioon, että työjärjestyksen 5 artiklan 2 kohdan mukaan parlamentaarinen koskemattomuus ei ole jäsenen henkilökohtainen erioikeus vaan tae koko parlamentin ja sen jäsenten riippumattomuudesta;</w:t>
      </w:r>
    </w:p>
    <w:p w14:paraId="29C6A929" w14:textId="77777777" w:rsidR="008E630B" w:rsidRPr="00AD4FF3" w:rsidRDefault="008E630B" w:rsidP="008E630B">
      <w:pPr>
        <w:pStyle w:val="NormalHanging12a"/>
        <w:widowControl/>
      </w:pPr>
      <w:r w:rsidRPr="00AD4FF3">
        <w:t>I.</w:t>
      </w:r>
      <w:r w:rsidRPr="00AD4FF3">
        <w:tab/>
        <w:t xml:space="preserve">ottaa huomioon, että tässä tapauksessa parlamentti ei löytänyt todisteita </w:t>
      </w:r>
      <w:proofErr w:type="spellStart"/>
      <w:r w:rsidRPr="00AD4FF3">
        <w:t>fumus</w:t>
      </w:r>
      <w:proofErr w:type="spellEnd"/>
      <w:r w:rsidRPr="00AD4FF3">
        <w:t xml:space="preserve"> </w:t>
      </w:r>
      <w:proofErr w:type="spellStart"/>
      <w:r w:rsidRPr="00AD4FF3">
        <w:t>persecutionis</w:t>
      </w:r>
      <w:proofErr w:type="spellEnd"/>
      <w:r w:rsidRPr="00AD4FF3">
        <w:t xml:space="preserve"> -tilanteesta eli tosiseikkoja, jotka viittaisivat siihen, että kyseisen oikeusmenettelyn tarkoituksena olisi vahingoittaa jäsenen poliittista toimintaa Euroopan parlamentin jäsenenä;</w:t>
      </w:r>
    </w:p>
    <w:p w14:paraId="45545845" w14:textId="77777777" w:rsidR="008E630B" w:rsidRPr="00AD4FF3" w:rsidRDefault="008E630B" w:rsidP="008E630B">
      <w:pPr>
        <w:pStyle w:val="NormalHanging12a"/>
        <w:widowControl/>
      </w:pPr>
      <w:r w:rsidRPr="00AD4FF3">
        <w:t>J.</w:t>
      </w:r>
      <w:r w:rsidRPr="00AD4FF3">
        <w:tab/>
        <w:t>ottaa huomioon, että parlamenttia ei voida rinnastaa tuomioistuimeen eikä parlamentin jäsentä voida pitää koskemattomuuden pidättämistä koskevassa menettelyssä ”syytettynä”</w:t>
      </w:r>
      <w:r w:rsidRPr="00AD4FF3">
        <w:rPr>
          <w:vertAlign w:val="superscript"/>
        </w:rPr>
        <w:footnoteReference w:id="2"/>
      </w:r>
      <w:r w:rsidRPr="00AD4FF3">
        <w:t>;</w:t>
      </w:r>
    </w:p>
    <w:p w14:paraId="4FCB28C1" w14:textId="77777777" w:rsidR="008E630B" w:rsidRPr="00AD4FF3" w:rsidRDefault="008E630B" w:rsidP="008E630B">
      <w:pPr>
        <w:pStyle w:val="NormalHanging12a"/>
        <w:widowControl/>
      </w:pPr>
      <w:r w:rsidRPr="00AD4FF3">
        <w:t>1.</w:t>
      </w:r>
      <w:r w:rsidRPr="00AD4FF3">
        <w:tab/>
        <w:t xml:space="preserve">päättää pidättää </w:t>
      </w:r>
      <w:proofErr w:type="spellStart"/>
      <w:r w:rsidRPr="00AD4FF3">
        <w:t>Petr</w:t>
      </w:r>
      <w:proofErr w:type="spellEnd"/>
      <w:r w:rsidRPr="00AD4FF3">
        <w:t xml:space="preserve"> </w:t>
      </w:r>
      <w:proofErr w:type="spellStart"/>
      <w:r w:rsidRPr="00AD4FF3">
        <w:t>Bystronin</w:t>
      </w:r>
      <w:proofErr w:type="spellEnd"/>
      <w:r w:rsidRPr="00AD4FF3">
        <w:t xml:space="preserve"> koskemattomuuden;</w:t>
      </w:r>
    </w:p>
    <w:p w14:paraId="3FE75E36" w14:textId="50B2EB3C" w:rsidR="00E40363" w:rsidRPr="00AD4FF3" w:rsidRDefault="008E630B" w:rsidP="00E40363">
      <w:pPr>
        <w:pStyle w:val="NormalHanging12a"/>
        <w:widowControl/>
      </w:pPr>
      <w:r w:rsidRPr="00AD4FF3">
        <w:t>2.</w:t>
      </w:r>
      <w:r w:rsidRPr="00AD4FF3">
        <w:tab/>
        <w:t xml:space="preserve">kehottaa puhemiestä välittämään tämän päätöksen sekä asiasta vastaavan valiokunnan mietinnön viipymättä Saksan liittotasavallan toimivaltaiselle viranomaiselle ja </w:t>
      </w:r>
      <w:proofErr w:type="spellStart"/>
      <w:r w:rsidRPr="00AD4FF3">
        <w:t>Petr</w:t>
      </w:r>
      <w:proofErr w:type="spellEnd"/>
      <w:r w:rsidRPr="00AD4FF3">
        <w:t> </w:t>
      </w:r>
      <w:proofErr w:type="spellStart"/>
      <w:r w:rsidRPr="00AD4FF3">
        <w:t>Bystronille</w:t>
      </w:r>
      <w:proofErr w:type="spellEnd"/>
      <w:r w:rsidRPr="00AD4FF3">
        <w:t>.</w:t>
      </w:r>
    </w:p>
    <w:p w14:paraId="0BA9BA39" w14:textId="5044A5B9" w:rsidR="00E365E1" w:rsidRPr="00AD4FF3" w:rsidRDefault="00E365E1" w:rsidP="001D443F"/>
    <w:sectPr w:rsidR="00E365E1" w:rsidRPr="00AD4FF3" w:rsidSect="00E40363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E17C3" w14:textId="77777777" w:rsidR="001D443F" w:rsidRPr="00E40363" w:rsidRDefault="001D443F">
      <w:r w:rsidRPr="00E40363">
        <w:separator/>
      </w:r>
    </w:p>
  </w:endnote>
  <w:endnote w:type="continuationSeparator" w:id="0">
    <w:p w14:paraId="3551706F" w14:textId="77777777" w:rsidR="001D443F" w:rsidRPr="00E40363" w:rsidRDefault="001D443F">
      <w:r w:rsidRPr="00E403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327F7" w14:textId="77777777" w:rsidR="001D443F" w:rsidRPr="00E40363" w:rsidRDefault="001D443F">
      <w:r w:rsidRPr="00E40363">
        <w:separator/>
      </w:r>
    </w:p>
  </w:footnote>
  <w:footnote w:type="continuationSeparator" w:id="0">
    <w:p w14:paraId="704A9895" w14:textId="77777777" w:rsidR="001D443F" w:rsidRPr="00E40363" w:rsidRDefault="001D443F">
      <w:r w:rsidRPr="00E40363">
        <w:continuationSeparator/>
      </w:r>
    </w:p>
  </w:footnote>
  <w:footnote w:id="1">
    <w:p w14:paraId="2DB9A7BA" w14:textId="73425704" w:rsidR="008E630B" w:rsidRPr="00E40363" w:rsidRDefault="008E630B" w:rsidP="00E40363">
      <w:pPr>
        <w:pStyle w:val="FootnoteText"/>
        <w:ind w:left="567" w:hanging="567"/>
        <w:rPr>
          <w:sz w:val="24"/>
          <w:lang w:val="fi-FI"/>
        </w:rPr>
      </w:pPr>
      <w:r w:rsidRPr="00E40363">
        <w:rPr>
          <w:rStyle w:val="FootnoteReference"/>
          <w:sz w:val="24"/>
          <w:lang w:val="fi-FI"/>
        </w:rPr>
        <w:footnoteRef/>
      </w:r>
      <w:r w:rsidR="00E40363" w:rsidRPr="00E40363">
        <w:rPr>
          <w:sz w:val="24"/>
          <w:lang w:val="fi-FI"/>
        </w:rPr>
        <w:t xml:space="preserve"> </w:t>
      </w:r>
      <w:r w:rsidR="00E40363" w:rsidRPr="00E40363">
        <w:rPr>
          <w:sz w:val="24"/>
          <w:lang w:val="fi-FI"/>
        </w:rPr>
        <w:tab/>
      </w:r>
      <w:r w:rsidRPr="00E40363">
        <w:rPr>
          <w:sz w:val="24"/>
          <w:lang w:val="fi-FI"/>
        </w:rPr>
        <w:t xml:space="preserve">Yhteisöjen tuomioistuimen tuomio 21.10.2008, </w:t>
      </w:r>
      <w:proofErr w:type="spellStart"/>
      <w:r w:rsidRPr="00E40363">
        <w:rPr>
          <w:sz w:val="24"/>
          <w:lang w:val="fi-FI"/>
        </w:rPr>
        <w:t>Marra</w:t>
      </w:r>
      <w:proofErr w:type="spellEnd"/>
      <w:r w:rsidRPr="00E40363">
        <w:rPr>
          <w:sz w:val="24"/>
          <w:lang w:val="fi-FI"/>
        </w:rPr>
        <w:t xml:space="preserve"> v. De </w:t>
      </w:r>
      <w:proofErr w:type="spellStart"/>
      <w:r w:rsidRPr="00E40363">
        <w:rPr>
          <w:sz w:val="24"/>
          <w:lang w:val="fi-FI"/>
        </w:rPr>
        <w:t>Gregorio</w:t>
      </w:r>
      <w:proofErr w:type="spellEnd"/>
      <w:r w:rsidRPr="00E40363">
        <w:rPr>
          <w:sz w:val="24"/>
          <w:lang w:val="fi-FI"/>
        </w:rPr>
        <w:t xml:space="preserve"> ja </w:t>
      </w:r>
      <w:proofErr w:type="spellStart"/>
      <w:r w:rsidRPr="00E40363">
        <w:rPr>
          <w:sz w:val="24"/>
          <w:lang w:val="fi-FI"/>
        </w:rPr>
        <w:t>Clemente</w:t>
      </w:r>
      <w:proofErr w:type="spellEnd"/>
      <w:r w:rsidRPr="00E40363">
        <w:rPr>
          <w:sz w:val="24"/>
          <w:lang w:val="fi-FI"/>
        </w:rPr>
        <w:t xml:space="preserve">, C-200/07 ja C-201/07, ECLI:EU:C:2008:579; unionin yleisen tuomioistuimen tuomio 19.3.2010, </w:t>
      </w:r>
      <w:proofErr w:type="spellStart"/>
      <w:r w:rsidRPr="00E40363">
        <w:rPr>
          <w:sz w:val="24"/>
          <w:lang w:val="fi-FI"/>
        </w:rPr>
        <w:t>Gollnisch</w:t>
      </w:r>
      <w:proofErr w:type="spellEnd"/>
      <w:r w:rsidRPr="00E40363">
        <w:rPr>
          <w:sz w:val="24"/>
          <w:lang w:val="fi-FI"/>
        </w:rPr>
        <w:t xml:space="preserve"> v. parlamentti, T-42/06, ECLI:EU:T:2010:102; unionin tuomioistuimen tuomio 6.9.2011, </w:t>
      </w:r>
      <w:proofErr w:type="spellStart"/>
      <w:r w:rsidRPr="00E40363">
        <w:rPr>
          <w:sz w:val="24"/>
          <w:lang w:val="fi-FI"/>
        </w:rPr>
        <w:t>Patriciello</w:t>
      </w:r>
      <w:proofErr w:type="spellEnd"/>
      <w:r w:rsidRPr="00E40363">
        <w:rPr>
          <w:sz w:val="24"/>
          <w:lang w:val="fi-FI"/>
        </w:rPr>
        <w:t xml:space="preserve">, C-163/10, ECLI: EU:C:2011:543; unionin yleisen tuomioistuimen tuomio 17.1.2013, </w:t>
      </w:r>
      <w:proofErr w:type="spellStart"/>
      <w:r w:rsidRPr="00E40363">
        <w:rPr>
          <w:sz w:val="24"/>
          <w:lang w:val="fi-FI"/>
        </w:rPr>
        <w:t>Gollnisch</w:t>
      </w:r>
      <w:proofErr w:type="spellEnd"/>
      <w:r w:rsidRPr="00E40363">
        <w:rPr>
          <w:sz w:val="24"/>
          <w:lang w:val="fi-FI"/>
        </w:rPr>
        <w:t xml:space="preserve"> v. parlamentti, T-346/11 ja T-347/11, ECLI:EU:T:2013:23; unionin tuomioistuimen tuomio 19.12.2019, </w:t>
      </w:r>
      <w:proofErr w:type="spellStart"/>
      <w:r w:rsidRPr="00E40363">
        <w:rPr>
          <w:sz w:val="24"/>
          <w:lang w:val="fi-FI"/>
        </w:rPr>
        <w:t>Junqueras</w:t>
      </w:r>
      <w:proofErr w:type="spellEnd"/>
      <w:r w:rsidRPr="00E40363">
        <w:rPr>
          <w:sz w:val="24"/>
          <w:lang w:val="fi-FI"/>
        </w:rPr>
        <w:t xml:space="preserve"> Vies, C-502/19, ECLI:EU:C:2019:1115 sekä unionin yleisen tuomioistuimen tuomio 5.7.2023, </w:t>
      </w:r>
      <w:proofErr w:type="spellStart"/>
      <w:r w:rsidRPr="00E40363">
        <w:rPr>
          <w:sz w:val="24"/>
          <w:lang w:val="fi-FI"/>
        </w:rPr>
        <w:t>Puigdemont</w:t>
      </w:r>
      <w:proofErr w:type="spellEnd"/>
      <w:r w:rsidRPr="00E40363">
        <w:rPr>
          <w:sz w:val="24"/>
          <w:lang w:val="fi-FI"/>
        </w:rPr>
        <w:t xml:space="preserve"> i </w:t>
      </w:r>
      <w:proofErr w:type="spellStart"/>
      <w:r w:rsidRPr="00E40363">
        <w:rPr>
          <w:sz w:val="24"/>
          <w:lang w:val="fi-FI"/>
        </w:rPr>
        <w:t>Casamajó</w:t>
      </w:r>
      <w:proofErr w:type="spellEnd"/>
      <w:r w:rsidRPr="00E40363">
        <w:rPr>
          <w:sz w:val="24"/>
          <w:lang w:val="fi-FI"/>
        </w:rPr>
        <w:t xml:space="preserve"> ja muut v. parlamentti, T-272/21, ECLI:EU:T:2023:373.</w:t>
      </w:r>
    </w:p>
  </w:footnote>
  <w:footnote w:id="2">
    <w:p w14:paraId="46645D5E" w14:textId="55CD6666" w:rsidR="008E630B" w:rsidRPr="00E40363" w:rsidRDefault="008E630B" w:rsidP="00E40363">
      <w:pPr>
        <w:pStyle w:val="FootnoteText"/>
        <w:ind w:left="567" w:hanging="567"/>
        <w:rPr>
          <w:sz w:val="24"/>
          <w:lang w:val="fi-FI"/>
        </w:rPr>
      </w:pPr>
      <w:r w:rsidRPr="00E40363">
        <w:rPr>
          <w:rStyle w:val="FootnoteReference"/>
          <w:sz w:val="24"/>
          <w:lang w:val="fi-FI"/>
        </w:rPr>
        <w:footnoteRef/>
      </w:r>
      <w:r w:rsidR="00E40363" w:rsidRPr="00E40363">
        <w:rPr>
          <w:sz w:val="24"/>
          <w:lang w:val="fi-FI"/>
        </w:rPr>
        <w:t xml:space="preserve"> </w:t>
      </w:r>
      <w:r w:rsidR="00E40363" w:rsidRPr="00E40363">
        <w:rPr>
          <w:sz w:val="24"/>
          <w:lang w:val="fi-FI"/>
        </w:rPr>
        <w:tab/>
      </w:r>
      <w:r w:rsidRPr="00E40363">
        <w:rPr>
          <w:sz w:val="24"/>
          <w:lang w:val="fi-FI"/>
        </w:rPr>
        <w:t xml:space="preserve">Unionin yleisen tuomioistuimen tuomio 30.4.2019, </w:t>
      </w:r>
      <w:proofErr w:type="spellStart"/>
      <w:r w:rsidRPr="00E40363">
        <w:rPr>
          <w:sz w:val="24"/>
          <w:lang w:val="fi-FI"/>
        </w:rPr>
        <w:t>Briois</w:t>
      </w:r>
      <w:proofErr w:type="spellEnd"/>
      <w:r w:rsidRPr="00E40363">
        <w:rPr>
          <w:sz w:val="24"/>
          <w:lang w:val="fi-FI"/>
        </w:rPr>
        <w:t xml:space="preserve"> v. parlamentti, T-214/18, ECLI:EU:T:2019:266.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55891512">
    <w:abstractNumId w:val="9"/>
  </w:num>
  <w:num w:numId="2" w16cid:durableId="1501919649">
    <w:abstractNumId w:val="9"/>
  </w:num>
  <w:num w:numId="3" w16cid:durableId="434831669">
    <w:abstractNumId w:val="7"/>
  </w:num>
  <w:num w:numId="4" w16cid:durableId="167906695">
    <w:abstractNumId w:val="7"/>
  </w:num>
  <w:num w:numId="5" w16cid:durableId="1756631396">
    <w:abstractNumId w:val="6"/>
  </w:num>
  <w:num w:numId="6" w16cid:durableId="569459614">
    <w:abstractNumId w:val="6"/>
  </w:num>
  <w:num w:numId="7" w16cid:durableId="978923497">
    <w:abstractNumId w:val="5"/>
  </w:num>
  <w:num w:numId="8" w16cid:durableId="691955766">
    <w:abstractNumId w:val="5"/>
  </w:num>
  <w:num w:numId="9" w16cid:durableId="436875633">
    <w:abstractNumId w:val="4"/>
  </w:num>
  <w:num w:numId="10" w16cid:durableId="1760518648">
    <w:abstractNumId w:val="4"/>
  </w:num>
  <w:num w:numId="11" w16cid:durableId="628051365">
    <w:abstractNumId w:val="8"/>
  </w:num>
  <w:num w:numId="12" w16cid:durableId="1972319941">
    <w:abstractNumId w:val="8"/>
  </w:num>
  <w:num w:numId="13" w16cid:durableId="456339335">
    <w:abstractNumId w:val="3"/>
  </w:num>
  <w:num w:numId="14" w16cid:durableId="317462681">
    <w:abstractNumId w:val="3"/>
  </w:num>
  <w:num w:numId="15" w16cid:durableId="1803889961">
    <w:abstractNumId w:val="2"/>
  </w:num>
  <w:num w:numId="16" w16cid:durableId="1909805991">
    <w:abstractNumId w:val="2"/>
  </w:num>
  <w:num w:numId="17" w16cid:durableId="1246959680">
    <w:abstractNumId w:val="1"/>
  </w:num>
  <w:num w:numId="18" w16cid:durableId="1269922918">
    <w:abstractNumId w:val="1"/>
  </w:num>
  <w:num w:numId="19" w16cid:durableId="1563559725">
    <w:abstractNumId w:val="0"/>
  </w:num>
  <w:num w:numId="20" w16cid:durableId="1491557716">
    <w:abstractNumId w:val="0"/>
  </w:num>
  <w:num w:numId="21" w16cid:durableId="1779057929">
    <w:abstractNumId w:val="9"/>
  </w:num>
  <w:num w:numId="22" w16cid:durableId="114494390">
    <w:abstractNumId w:val="7"/>
  </w:num>
  <w:num w:numId="23" w16cid:durableId="1183471619">
    <w:abstractNumId w:val="6"/>
  </w:num>
  <w:num w:numId="24" w16cid:durableId="1733236413">
    <w:abstractNumId w:val="5"/>
  </w:num>
  <w:num w:numId="25" w16cid:durableId="2130852016">
    <w:abstractNumId w:val="4"/>
  </w:num>
  <w:num w:numId="26" w16cid:durableId="706098628">
    <w:abstractNumId w:val="8"/>
  </w:num>
  <w:num w:numId="27" w16cid:durableId="1510950751">
    <w:abstractNumId w:val="3"/>
  </w:num>
  <w:num w:numId="28" w16cid:durableId="912663158">
    <w:abstractNumId w:val="2"/>
  </w:num>
  <w:num w:numId="29" w16cid:durableId="1525243197">
    <w:abstractNumId w:val="1"/>
  </w:num>
  <w:num w:numId="30" w16cid:durableId="918905590">
    <w:abstractNumId w:val="0"/>
  </w:num>
  <w:num w:numId="31" w16cid:durableId="226110796">
    <w:abstractNumId w:val="9"/>
  </w:num>
  <w:num w:numId="32" w16cid:durableId="1588347880">
    <w:abstractNumId w:val="7"/>
  </w:num>
  <w:num w:numId="33" w16cid:durableId="299194683">
    <w:abstractNumId w:val="6"/>
  </w:num>
  <w:num w:numId="34" w16cid:durableId="809247840">
    <w:abstractNumId w:val="5"/>
  </w:num>
  <w:num w:numId="35" w16cid:durableId="2011331255">
    <w:abstractNumId w:val="4"/>
  </w:num>
  <w:num w:numId="36" w16cid:durableId="226108028">
    <w:abstractNumId w:val="8"/>
  </w:num>
  <w:num w:numId="37" w16cid:durableId="210465414">
    <w:abstractNumId w:val="3"/>
  </w:num>
  <w:num w:numId="38" w16cid:durableId="2069068477">
    <w:abstractNumId w:val="2"/>
  </w:num>
  <w:num w:numId="39" w16cid:durableId="2111008423">
    <w:abstractNumId w:val="1"/>
  </w:num>
  <w:num w:numId="40" w16cid:durableId="779690376">
    <w:abstractNumId w:val="0"/>
  </w:num>
  <w:num w:numId="41" w16cid:durableId="125439687">
    <w:abstractNumId w:val="10"/>
  </w:num>
  <w:num w:numId="42" w16cid:durableId="749160968">
    <w:abstractNumId w:val="10"/>
  </w:num>
  <w:num w:numId="43" w16cid:durableId="860901389">
    <w:abstractNumId w:val="10"/>
  </w:num>
  <w:num w:numId="44" w16cid:durableId="107558883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9/2026"/>
    <w:docVar w:name="dvlangue" w:val="FI"/>
    <w:docVar w:name="dvnumam" w:val="0"/>
    <w:docVar w:name="dvpe" w:val="781.254"/>
    <w:docVar w:name="dvrapporteur" w:val="Esittelijä: "/>
    <w:docVar w:name="dvtitre" w:val="Euroopan parlamentin päätöslauselma xx. helmikuuta 2026 Petr Bystronin koskemattomuuden pidättämistä koskevasta pyynnöstä(2025/2077(IMM))"/>
  </w:docVars>
  <w:rsids>
    <w:rsidRoot w:val="001D443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443F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2A2D"/>
    <w:rsid w:val="00494A28"/>
    <w:rsid w:val="004A290D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45A6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630B"/>
    <w:rsid w:val="00930C23"/>
    <w:rsid w:val="0093193B"/>
    <w:rsid w:val="009509D8"/>
    <w:rsid w:val="00950B64"/>
    <w:rsid w:val="00981893"/>
    <w:rsid w:val="00A051BD"/>
    <w:rsid w:val="00A1687D"/>
    <w:rsid w:val="00A43E52"/>
    <w:rsid w:val="00A4678D"/>
    <w:rsid w:val="00A778C7"/>
    <w:rsid w:val="00AB441E"/>
    <w:rsid w:val="00AB6293"/>
    <w:rsid w:val="00AD4FF3"/>
    <w:rsid w:val="00AE0928"/>
    <w:rsid w:val="00AF3B82"/>
    <w:rsid w:val="00B12E95"/>
    <w:rsid w:val="00B22876"/>
    <w:rsid w:val="00B558F0"/>
    <w:rsid w:val="00BB715B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0363"/>
    <w:rsid w:val="00E820A4"/>
    <w:rsid w:val="00E951C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DFE430"/>
  <w15:chartTrackingRefBased/>
  <w15:docId w15:val="{7B754525-2134-4E16-AE27-427692012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qFormat="1"/>
    <w:lsdException w:name="caption" w:semiHidden="1" w:unhideWhenUsed="1" w:qFormat="1"/>
    <w:lsdException w:name="footnote reference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qFormat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8E630B"/>
    <w:pPr>
      <w:spacing w:after="240"/>
      <w:ind w:left="567" w:hanging="567"/>
    </w:pPr>
  </w:style>
  <w:style w:type="paragraph" w:customStyle="1" w:styleId="EPComma">
    <w:name w:val="EPComma"/>
    <w:basedOn w:val="Normal"/>
    <w:rsid w:val="008E630B"/>
    <w:pPr>
      <w:spacing w:before="480" w:after="240"/>
    </w:pPr>
  </w:style>
  <w:style w:type="paragraph" w:styleId="Header">
    <w:name w:val="header"/>
    <w:basedOn w:val="Normal"/>
    <w:link w:val="HeaderChar"/>
    <w:rsid w:val="00492A2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92A2D"/>
    <w:rPr>
      <w:sz w:val="24"/>
      <w:lang w:val="fi-FI"/>
    </w:rPr>
  </w:style>
  <w:style w:type="paragraph" w:styleId="Footer">
    <w:name w:val="footer"/>
    <w:basedOn w:val="Normal"/>
    <w:link w:val="FooterChar"/>
    <w:rsid w:val="00492A2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92A2D"/>
    <w:rPr>
      <w:sz w:val="24"/>
      <w:lang w:val="fi-FI"/>
    </w:rPr>
  </w:style>
  <w:style w:type="paragraph" w:styleId="Revision">
    <w:name w:val="Revision"/>
    <w:hidden/>
    <w:uiPriority w:val="99"/>
    <w:semiHidden/>
    <w:rsid w:val="00A051BD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697</Words>
  <Characters>5591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KINNUNEN Hannele</dc:creator>
  <cp:keywords/>
  <cp:lastModifiedBy>KINNUNEN Hannele</cp:lastModifiedBy>
  <cp:revision>2</cp:revision>
  <cp:lastPrinted>2004-11-19T15:42:00Z</cp:lastPrinted>
  <dcterms:created xsi:type="dcterms:W3CDTF">2026-02-10T12:16:00Z</dcterms:created>
  <dcterms:modified xsi:type="dcterms:W3CDTF">2026-02-10T12:16:00Z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A10-0009/2026</vt:lpwstr>
  </property>
  <property fmtid="{D5CDD505-2E9C-101B-9397-08002B2CF9AE}" pid="4" name="&lt;Type&gt;">
    <vt:lpwstr>RR</vt:lpwstr>
  </property>
</Properties>
</file>