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743B" w14:paraId="222A13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E25CA4" w14:textId="77777777" w:rsidR="00751A4A" w:rsidRPr="00E4743B" w:rsidRDefault="00FB4689" w:rsidP="0010095E">
            <w:pPr>
              <w:pStyle w:val="EPName"/>
            </w:pPr>
            <w:r w:rsidRPr="00E4743B">
              <w:t>Európai Parlament</w:t>
            </w:r>
          </w:p>
          <w:p w14:paraId="5008EC39" w14:textId="77777777" w:rsidR="00751A4A" w:rsidRPr="00E474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743B">
              <w:t>2024</w:t>
            </w:r>
            <w:r w:rsidR="00817416" w:rsidRPr="00E4743B">
              <w:t>-202</w:t>
            </w:r>
            <w:r w:rsidRPr="00E4743B">
              <w:t>9</w:t>
            </w:r>
          </w:p>
        </w:tc>
        <w:tc>
          <w:tcPr>
            <w:tcW w:w="2268" w:type="dxa"/>
            <w:shd w:val="clear" w:color="auto" w:fill="auto"/>
          </w:tcPr>
          <w:p w14:paraId="015B2F16" w14:textId="77777777" w:rsidR="00751A4A" w:rsidRPr="00E4743B" w:rsidRDefault="00187494" w:rsidP="0010095E">
            <w:pPr>
              <w:pStyle w:val="EPLogo"/>
            </w:pPr>
            <w:r w:rsidRPr="00E4743B">
              <w:rPr>
                <w:noProof/>
                <w:lang w:eastAsia="ja-JP"/>
              </w:rPr>
              <w:drawing>
                <wp:inline distT="0" distB="0" distL="0" distR="0" wp14:anchorId="383C7A17" wp14:editId="03249D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8B596" w14:textId="77777777" w:rsidR="00D058B8" w:rsidRPr="00E4743B" w:rsidRDefault="00D058B8" w:rsidP="004C5D52">
      <w:pPr>
        <w:pStyle w:val="LineTop"/>
      </w:pPr>
    </w:p>
    <w:p w14:paraId="719B112C" w14:textId="77777777" w:rsidR="00680577" w:rsidRPr="00E4743B" w:rsidRDefault="00FB4689" w:rsidP="00680577">
      <w:pPr>
        <w:pStyle w:val="EPBodyTA1"/>
      </w:pPr>
      <w:r w:rsidRPr="00E4743B">
        <w:t>ELFOGADOTT SZÖVEGEK</w:t>
      </w:r>
    </w:p>
    <w:p w14:paraId="64EEA6B0" w14:textId="77777777" w:rsidR="00D058B8" w:rsidRPr="00E4743B" w:rsidRDefault="00D058B8" w:rsidP="00D058B8">
      <w:pPr>
        <w:pStyle w:val="LineBottom"/>
      </w:pPr>
    </w:p>
    <w:p w14:paraId="327DA8BF" w14:textId="3642DC34" w:rsidR="00FB4689" w:rsidRPr="00E4743B" w:rsidRDefault="00FB4689" w:rsidP="00FB4689">
      <w:pPr>
        <w:pStyle w:val="ATHeading1"/>
      </w:pPr>
      <w:bookmarkStart w:id="0" w:name="TANumber"/>
      <w:r w:rsidRPr="00E4743B">
        <w:t>P10_</w:t>
      </w:r>
      <w:proofErr w:type="gramStart"/>
      <w:r w:rsidRPr="00E4743B">
        <w:t>TA(</w:t>
      </w:r>
      <w:proofErr w:type="gramEnd"/>
      <w:r w:rsidRPr="00E4743B">
        <w:t>2026)00</w:t>
      </w:r>
      <w:r w:rsidR="00E4743B" w:rsidRPr="00E4743B">
        <w:t>27</w:t>
      </w:r>
      <w:bookmarkEnd w:id="0"/>
    </w:p>
    <w:p w14:paraId="19BF7610" w14:textId="08375FEB" w:rsidR="00FB4689" w:rsidRPr="00E4743B" w:rsidRDefault="00842CF1" w:rsidP="00FB4689">
      <w:pPr>
        <w:pStyle w:val="ATHeading2"/>
      </w:pPr>
      <w:bookmarkStart w:id="1" w:name="title"/>
      <w:r w:rsidRPr="00E4743B">
        <w:t xml:space="preserve">A </w:t>
      </w:r>
      <w:proofErr w:type="spellStart"/>
      <w:r w:rsidR="00296C9C" w:rsidRPr="00E4743B">
        <w:t>Petr</w:t>
      </w:r>
      <w:proofErr w:type="spellEnd"/>
      <w:r w:rsidR="00296C9C" w:rsidRPr="00E4743B">
        <w:t xml:space="preserve"> </w:t>
      </w:r>
      <w:proofErr w:type="spellStart"/>
      <w:r w:rsidR="00296C9C" w:rsidRPr="00E4743B">
        <w:t>Bystron</w:t>
      </w:r>
      <w:proofErr w:type="spellEnd"/>
      <w:r w:rsidR="00296C9C" w:rsidRPr="00E4743B">
        <w:t xml:space="preserve"> </w:t>
      </w:r>
      <w:bookmarkEnd w:id="1"/>
      <w:r w:rsidR="00296C9C" w:rsidRPr="00E4743B">
        <w:t>mentelmi jogának felfüggesztésére irányuló kérelem</w:t>
      </w:r>
    </w:p>
    <w:p w14:paraId="61211303" w14:textId="77777777" w:rsidR="00FB4689" w:rsidRPr="00E4743B" w:rsidRDefault="00FB4689" w:rsidP="00FB4689">
      <w:pPr>
        <w:rPr>
          <w:i/>
          <w:vanish/>
        </w:rPr>
      </w:pPr>
      <w:r w:rsidRPr="00E4743B">
        <w:rPr>
          <w:i/>
        </w:rPr>
        <w:fldChar w:fldCharType="begin"/>
      </w:r>
      <w:r w:rsidRPr="00E4743B">
        <w:rPr>
          <w:i/>
        </w:rPr>
        <w:instrText xml:space="preserve"> TC"(</w:instrText>
      </w:r>
      <w:bookmarkStart w:id="2" w:name="DocNumber"/>
      <w:r w:rsidRPr="00E4743B">
        <w:rPr>
          <w:i/>
        </w:rPr>
        <w:instrText>A10-0009/2026</w:instrText>
      </w:r>
      <w:bookmarkEnd w:id="2"/>
      <w:r w:rsidRPr="00E4743B">
        <w:rPr>
          <w:i/>
        </w:rPr>
        <w:instrText xml:space="preserve"> - Előadó: Adrián Vázquez Lázara)"\l3 \n&gt; \* MERGEFORMAT </w:instrText>
      </w:r>
      <w:r w:rsidRPr="00E4743B">
        <w:rPr>
          <w:i/>
        </w:rPr>
        <w:fldChar w:fldCharType="end"/>
      </w:r>
    </w:p>
    <w:p w14:paraId="4CE333B4" w14:textId="77777777" w:rsidR="00FB4689" w:rsidRPr="00E4743B" w:rsidRDefault="00FB4689" w:rsidP="00FB4689">
      <w:pPr>
        <w:rPr>
          <w:vanish/>
        </w:rPr>
      </w:pPr>
      <w:bookmarkStart w:id="3" w:name="Commission"/>
      <w:r w:rsidRPr="00E4743B">
        <w:rPr>
          <w:vanish/>
        </w:rPr>
        <w:t>Jogi Bizottság</w:t>
      </w:r>
      <w:bookmarkEnd w:id="3"/>
    </w:p>
    <w:p w14:paraId="43436385" w14:textId="77777777" w:rsidR="00FB4689" w:rsidRPr="00E4743B" w:rsidRDefault="00FB4689" w:rsidP="00FB4689">
      <w:pPr>
        <w:rPr>
          <w:vanish/>
        </w:rPr>
      </w:pPr>
      <w:bookmarkStart w:id="4" w:name="PE"/>
      <w:r w:rsidRPr="00E4743B">
        <w:rPr>
          <w:vanish/>
        </w:rPr>
        <w:t>PE781.254</w:t>
      </w:r>
      <w:bookmarkEnd w:id="4"/>
    </w:p>
    <w:p w14:paraId="0B4DCB13" w14:textId="3702100A" w:rsidR="00FB4689" w:rsidRPr="00E4743B" w:rsidRDefault="00FB4689" w:rsidP="00FB4689">
      <w:pPr>
        <w:pStyle w:val="ATHeading3"/>
      </w:pPr>
      <w:bookmarkStart w:id="5" w:name="Sujet"/>
      <w:r w:rsidRPr="00E4743B">
        <w:t xml:space="preserve">Az Európai Parlament 2026. </w:t>
      </w:r>
      <w:r w:rsidR="00296C9C" w:rsidRPr="00E4743B">
        <w:t>február</w:t>
      </w:r>
      <w:r w:rsidRPr="00E4743B">
        <w:t xml:space="preserve"> </w:t>
      </w:r>
      <w:r w:rsidR="00842CF1" w:rsidRPr="00E4743B">
        <w:t>10-</w:t>
      </w:r>
      <w:r w:rsidRPr="00E4743B">
        <w:t xml:space="preserve">i határozata a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mentelmi jogának felfüggesztésére irányuló kérelemről</w:t>
      </w:r>
      <w:bookmarkEnd w:id="5"/>
      <w:r w:rsidRPr="00E4743B">
        <w:t xml:space="preserve"> </w:t>
      </w:r>
      <w:bookmarkStart w:id="6" w:name="References"/>
      <w:r w:rsidRPr="00E4743B">
        <w:t>(2025/2077(IMM))</w:t>
      </w:r>
      <w:bookmarkEnd w:id="6"/>
    </w:p>
    <w:p w14:paraId="5FD2727B" w14:textId="77777777" w:rsidR="00884451" w:rsidRPr="00E4743B" w:rsidRDefault="00884451" w:rsidP="00884451">
      <w:pPr>
        <w:pStyle w:val="EPComma"/>
      </w:pPr>
      <w:bookmarkStart w:id="7" w:name="TextBodyBegin"/>
      <w:bookmarkEnd w:id="7"/>
      <w:r w:rsidRPr="00E4743B">
        <w:rPr>
          <w:i/>
        </w:rPr>
        <w:t>Az Európai Parlament,</w:t>
      </w:r>
    </w:p>
    <w:p w14:paraId="277EC94D" w14:textId="77516331" w:rsidR="00884451" w:rsidRPr="00E4743B" w:rsidRDefault="00884451" w:rsidP="00B506B4">
      <w:pPr>
        <w:pStyle w:val="NormalHanging12a"/>
        <w:widowControl/>
      </w:pPr>
      <w:r w:rsidRPr="00E4743B">
        <w:t>–</w:t>
      </w:r>
      <w:r w:rsidRPr="00E4743B">
        <w:tab/>
        <w:t xml:space="preserve">tekintettel a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mentelmi jogának felfüggesztésére irányuló kérelemre, melyet a Német Szövetségi Igazságügyi Minisztérium </w:t>
      </w:r>
      <w:r w:rsidR="007E255A" w:rsidRPr="00E4743B">
        <w:t>juttatott el</w:t>
      </w:r>
      <w:r w:rsidRPr="00E4743B">
        <w:t xml:space="preserve"> egy 2024. október 24-i keltezésű levélben, továbbítva a müncheni főügyésznek a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elleni büntetőeljárásokkal kapcsolatos kérelmét, és amelyet a 2025. április 3-i plenáris ülésen jelentettek be,</w:t>
      </w:r>
    </w:p>
    <w:p w14:paraId="45FD6909" w14:textId="77777777" w:rsidR="00884451" w:rsidRPr="00E4743B" w:rsidRDefault="00884451" w:rsidP="00B506B4">
      <w:pPr>
        <w:pStyle w:val="NormalHanging12a"/>
        <w:widowControl/>
      </w:pPr>
      <w:r w:rsidRPr="00E4743B">
        <w:t>–</w:t>
      </w:r>
      <w:r w:rsidRPr="00E4743B">
        <w:tab/>
        <w:t xml:space="preserve">tekintettel arra, hogy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az eljárási szabályzat 9. cikkének (6) bekezdésével összhangban lemondott a meghallgatáshoz való jogáról,</w:t>
      </w:r>
    </w:p>
    <w:p w14:paraId="25B364D9" w14:textId="77777777" w:rsidR="00884451" w:rsidRPr="00E4743B" w:rsidRDefault="00884451" w:rsidP="00B506B4">
      <w:pPr>
        <w:pStyle w:val="NormalHanging12a"/>
        <w:widowControl/>
      </w:pPr>
      <w:r w:rsidRPr="00E4743B">
        <w:t>–</w:t>
      </w:r>
      <w:r w:rsidRPr="00E4743B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14:paraId="6E30A5DB" w14:textId="77777777" w:rsidR="00884451" w:rsidRPr="00E4743B" w:rsidRDefault="00884451" w:rsidP="00B506B4">
      <w:pPr>
        <w:pStyle w:val="NormalHanging12a"/>
        <w:widowControl/>
      </w:pPr>
      <w:r w:rsidRPr="00E4743B">
        <w:t>–</w:t>
      </w:r>
      <w:r w:rsidRPr="00E4743B">
        <w:tab/>
        <w:t>tekintettel az Európai Unió Bírósága által 2008. október 21-én, 2010. március 19-én, 2011. szeptember 6-án, 2013. január 17-én, 2019. december 19-én és 2023. július 5-én hozott ítéletekre</w:t>
      </w:r>
      <w:r w:rsidRPr="00E4743B">
        <w:rPr>
          <w:vertAlign w:val="superscript"/>
        </w:rPr>
        <w:footnoteReference w:id="1"/>
      </w:r>
      <w:r w:rsidRPr="00E4743B">
        <w:t>,</w:t>
      </w:r>
    </w:p>
    <w:p w14:paraId="5B57B845" w14:textId="77777777" w:rsidR="00884451" w:rsidRPr="00E4743B" w:rsidRDefault="00884451" w:rsidP="00B506B4">
      <w:pPr>
        <w:pStyle w:val="NormalHanging12a"/>
        <w:widowControl/>
      </w:pPr>
      <w:r w:rsidRPr="00E4743B">
        <w:t>–</w:t>
      </w:r>
      <w:r w:rsidRPr="00E4743B">
        <w:tab/>
        <w:t>tekintettel a Németországi Szövetségi Köztársaság Alaptörvényének 46. cikkére,</w:t>
      </w:r>
    </w:p>
    <w:p w14:paraId="4F4516B1" w14:textId="77777777" w:rsidR="00884451" w:rsidRPr="00E4743B" w:rsidRDefault="00884451" w:rsidP="00B506B4">
      <w:pPr>
        <w:pStyle w:val="NormalHanging12a"/>
        <w:widowControl/>
      </w:pPr>
      <w:r w:rsidRPr="00E4743B">
        <w:lastRenderedPageBreak/>
        <w:t>–</w:t>
      </w:r>
      <w:r w:rsidRPr="00E4743B">
        <w:tab/>
        <w:t>tekintettel eljárási szabályzata 5. cikkének (2) bekezdésére, 6. cikkének (1) bekezdésére és 9. cikkére,</w:t>
      </w:r>
    </w:p>
    <w:p w14:paraId="28846629" w14:textId="77777777" w:rsidR="00884451" w:rsidRPr="00E4743B" w:rsidRDefault="00884451" w:rsidP="00B506B4">
      <w:pPr>
        <w:pStyle w:val="NormalHanging12a"/>
        <w:widowControl/>
      </w:pPr>
      <w:r w:rsidRPr="00E4743B">
        <w:t>–</w:t>
      </w:r>
      <w:r w:rsidRPr="00E4743B">
        <w:tab/>
        <w:t>tekintettel a Jogi Bizottság jelentésére (A10-0009/2026),</w:t>
      </w:r>
    </w:p>
    <w:p w14:paraId="7A4FEEE9" w14:textId="71C5C66B" w:rsidR="00884451" w:rsidRPr="00E4743B" w:rsidRDefault="00884451" w:rsidP="00B506B4">
      <w:pPr>
        <w:pStyle w:val="NormalHanging12a"/>
        <w:widowControl/>
      </w:pPr>
      <w:r w:rsidRPr="00E4743B">
        <w:t>A.</w:t>
      </w:r>
      <w:r w:rsidRPr="00E4743B">
        <w:tab/>
        <w:t xml:space="preserve">mivel a Német Szövetségi Igazságügyi Minisztérium továbbította a müncheni főügyész arra irányuló kérelmét, hogy függesszék fel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</w:t>
      </w:r>
      <w:r w:rsidR="00FE14B9" w:rsidRPr="00E4743B">
        <w:t xml:space="preserve">Németországban megválasztott </w:t>
      </w:r>
      <w:r w:rsidRPr="00E4743B">
        <w:t>európai parlamenti képviselő mentelmi jogát olyan állítólagos cselekményekkel kapcsolatban, amelyek a német büntető törvénykönyv 263. szakaszának (1) bekezdése értelmében csalásnak minősülhetnek, az átalánytámogatás folyósításával kapcsolatos állítólagos hamis nyilatkozat miatt;</w:t>
      </w:r>
    </w:p>
    <w:p w14:paraId="678D4D70" w14:textId="29DDCD4F" w:rsidR="00884451" w:rsidRPr="00E4743B" w:rsidRDefault="00884451" w:rsidP="00B506B4">
      <w:pPr>
        <w:pStyle w:val="NormalHanging12a"/>
        <w:widowControl/>
      </w:pPr>
      <w:r w:rsidRPr="00E4743B">
        <w:t>B.</w:t>
      </w:r>
      <w:r w:rsidRPr="00E4743B">
        <w:tab/>
        <w:t xml:space="preserve">mivel a kérelem szerint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2017</w:t>
      </w:r>
      <w:r w:rsidR="00E14047" w:rsidRPr="00E4743B">
        <w:t>-től</w:t>
      </w:r>
      <w:r w:rsidRPr="00E4743B">
        <w:t xml:space="preserve"> 2024 július</w:t>
      </w:r>
      <w:r w:rsidR="00E14047" w:rsidRPr="00E4743B">
        <w:t>áig</w:t>
      </w:r>
      <w:r w:rsidRPr="00E4743B">
        <w:t xml:space="preserve"> a német Bundestag tagja volt; mivel a német Bundestag tagjaként a képviselőt a német képviselői törvény</w:t>
      </w:r>
      <w:r w:rsidR="00E14047" w:rsidRPr="00E4743B">
        <w:t xml:space="preserve"> (</w:t>
      </w:r>
      <w:proofErr w:type="spellStart"/>
      <w:r w:rsidR="00E14047" w:rsidRPr="00E4743B">
        <w:t>AbgG</w:t>
      </w:r>
      <w:proofErr w:type="spellEnd"/>
      <w:r w:rsidR="00E14047" w:rsidRPr="00E4743B">
        <w:t>) 12. cikkének (3) bekezdése</w:t>
      </w:r>
      <w:r w:rsidRPr="00E4743B">
        <w:t xml:space="preserve"> alapján átalányösszegű költségtérítés illette meg, amely többek között alkalmazottak felvételét is fedezi</w:t>
      </w:r>
      <w:r w:rsidR="00E14047" w:rsidRPr="00E4743B">
        <w:t>;</w:t>
      </w:r>
      <w:r w:rsidRPr="00E4743B">
        <w:t xml:space="preserve"> mivel 2021. november 10-én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munkaszerződést írt alá, hogy egy alkalmazottat „irodai tisztviselőként/gépíróként” vegyen fel a müncheni választókerületi irodájába; mivel állítólag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azzal, hogy benyújtotta a munkaszerződést a Bundestag igazgatásához, kifejezetten kijelentette, hogy az </w:t>
      </w:r>
      <w:r w:rsidR="00FE14B9" w:rsidRPr="00E4743B">
        <w:t xml:space="preserve">említett </w:t>
      </w:r>
      <w:r w:rsidRPr="00E4743B">
        <w:t>alkalmazott a választókerületi irodájában irodai tisztviselőként/gépíróként fog dolgozni; mivel a kérelem szerint a személyzet adott tagja valójában nem irodai tisztviselőként/gépíróként dolgozott; mivel a munkaszerződésben szereplő helytelen információk miatt a Bundestag igazgatása tévesen feltételezte, hogy a 12. cikk (3) bekezdése szerinti átalányköltség-térítés kifizetésének feltételei fennállnak, és így elrendelte a külön eljárás alá vont alkalmazott fizetésének kifizetését (összesen kb. 14 850 EUR értékben)</w:t>
      </w:r>
      <w:r w:rsidR="00262394" w:rsidRPr="00E4743B">
        <w:t>;</w:t>
      </w:r>
      <w:r w:rsidRPr="00E4743B">
        <w:t xml:space="preserve"> mivel a kérelem szerint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ismerte ezeket a körülményeket, és ezért azzal gyanúsítják, hogy szándékosan tett hamis nyilatkozatot;</w:t>
      </w:r>
    </w:p>
    <w:p w14:paraId="32E0B800" w14:textId="3D1A1A1B" w:rsidR="00884451" w:rsidRPr="00E4743B" w:rsidRDefault="00884451" w:rsidP="00B506B4">
      <w:pPr>
        <w:pStyle w:val="NormalHanging12a"/>
        <w:widowControl/>
      </w:pPr>
      <w:r w:rsidRPr="00E4743B">
        <w:t>C.</w:t>
      </w:r>
      <w:r w:rsidRPr="00E4743B">
        <w:tab/>
        <w:t xml:space="preserve">mivel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Bystront</w:t>
      </w:r>
      <w:proofErr w:type="spellEnd"/>
      <w:r w:rsidRPr="00E4743B">
        <w:t xml:space="preserve"> a 2024. júniusi európai választásokon az Európai Parlament képviselőjévé</w:t>
      </w:r>
      <w:r w:rsidR="00262394" w:rsidRPr="00E4743B">
        <w:t xml:space="preserve"> választották</w:t>
      </w:r>
      <w:r w:rsidRPr="00E4743B">
        <w:t>, és az állítólagos bűncselekmény idején nem volt az Európai Parlament képviselője;</w:t>
      </w:r>
    </w:p>
    <w:p w14:paraId="71FFAA91" w14:textId="2D683F72" w:rsidR="00884451" w:rsidRPr="00E4743B" w:rsidRDefault="00884451" w:rsidP="00B506B4">
      <w:pPr>
        <w:pStyle w:val="NormalHanging12a"/>
        <w:widowControl/>
      </w:pPr>
      <w:r w:rsidRPr="00E4743B">
        <w:t>D.</w:t>
      </w:r>
      <w:r w:rsidRPr="00E4743B">
        <w:tab/>
        <w:t xml:space="preserve">mivel az állítólagos bűncselekmények nem minősülnek a </w:t>
      </w:r>
      <w:proofErr w:type="spellStart"/>
      <w:r w:rsidRPr="00E4743B">
        <w:t>Petr</w:t>
      </w:r>
      <w:proofErr w:type="spellEnd"/>
      <w:r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által az Európai Unió kiváltságairól és mentességeiről szóló 7. jegyzőkönyv 8. cikkének értelmében vett feladatai ellátása során kifejtett véleménynek vagy leadott szavazatnak, és a</w:t>
      </w:r>
      <w:r w:rsidR="00262394" w:rsidRPr="00E4743B">
        <w:t xml:space="preserve"> </w:t>
      </w:r>
      <w:proofErr w:type="spellStart"/>
      <w:r w:rsidR="00262394" w:rsidRPr="00E4743B">
        <w:t>Petr</w:t>
      </w:r>
      <w:proofErr w:type="spellEnd"/>
      <w:r w:rsidR="00262394" w:rsidRPr="00E4743B">
        <w:t xml:space="preserve"> </w:t>
      </w:r>
      <w:proofErr w:type="spellStart"/>
      <w:r w:rsidR="00262394" w:rsidRPr="00E4743B">
        <w:t>Bystron</w:t>
      </w:r>
      <w:proofErr w:type="spellEnd"/>
      <w:r w:rsidRPr="00E4743B">
        <w:t xml:space="preserve"> mentelmi jogának felfüggesztésére irányuló kérelem sem kapcsolódik ilyenhez;</w:t>
      </w:r>
    </w:p>
    <w:p w14:paraId="783F8352" w14:textId="1A39705A" w:rsidR="00884451" w:rsidRPr="00E4743B" w:rsidRDefault="00884451" w:rsidP="00B506B4">
      <w:pPr>
        <w:pStyle w:val="NormalHanging12a"/>
        <w:widowControl/>
      </w:pPr>
      <w:r w:rsidRPr="00E4743B">
        <w:t>E.</w:t>
      </w:r>
      <w:r w:rsidRPr="00E4743B">
        <w:tab/>
        <w:t xml:space="preserve">mivel az Európai Unió kiváltságairól és mentességeiről szóló 7. jegyzőkönyv 9. cikke első bekezdésének a) pontja szerint az Európai Parlament </w:t>
      </w:r>
      <w:proofErr w:type="spellStart"/>
      <w:r w:rsidRPr="00E4743B">
        <w:t>ülésszakainak</w:t>
      </w:r>
      <w:proofErr w:type="spellEnd"/>
      <w:r w:rsidRPr="00E4743B">
        <w:t xml:space="preserve"> ideje alatt az Európai Parlament képviselői saját államuk területén a </w:t>
      </w:r>
      <w:r w:rsidR="00AE4F0E" w:rsidRPr="00E4743B">
        <w:t>tag</w:t>
      </w:r>
      <w:r w:rsidRPr="00E4743B">
        <w:t>állam</w:t>
      </w:r>
      <w:r w:rsidR="00262394" w:rsidRPr="00E4743B">
        <w:t>uk</w:t>
      </w:r>
      <w:r w:rsidRPr="00E4743B">
        <w:t xml:space="preserve"> parlamenti képviselőire vonatkozó mentességeket élvezik;</w:t>
      </w:r>
    </w:p>
    <w:p w14:paraId="379DCA5D" w14:textId="77777777" w:rsidR="00884451" w:rsidRPr="00E4743B" w:rsidRDefault="00884451" w:rsidP="00B506B4">
      <w:pPr>
        <w:pStyle w:val="NormalHanging12a"/>
        <w:widowControl/>
      </w:pPr>
      <w:r w:rsidRPr="00E4743B">
        <w:t>F.</w:t>
      </w:r>
      <w:r w:rsidRPr="00E4743B">
        <w:tab/>
        <w:t>mivel a Németországi Szövetségi Köztársaság alaptörvénye 46. cikkének (2), (3) és (4) bekezdése a következőképpen rendelkezik:</w:t>
      </w:r>
    </w:p>
    <w:p w14:paraId="3B692914" w14:textId="21AAF4FE" w:rsidR="00884451" w:rsidRPr="00E4743B" w:rsidRDefault="00B506B4" w:rsidP="00B506B4">
      <w:pPr>
        <w:pStyle w:val="NormalHanging12a"/>
        <w:widowControl/>
        <w:ind w:left="1134"/>
      </w:pPr>
      <w:r w:rsidRPr="00E4743B">
        <w:t>„</w:t>
      </w:r>
      <w:r w:rsidR="00884451" w:rsidRPr="00E4743B">
        <w:t xml:space="preserve">(2) </w:t>
      </w:r>
      <w:r w:rsidR="00884451" w:rsidRPr="00E4743B">
        <w:tab/>
        <w:t>Büntetendő cselekmény elkövetése miatt képviselő csak a Bundestag engedélyével vonható felelősségre vagy tartóztatható le, kivéve a jogellenes cselekmény elkövetésekor vagy a rá következő napon történő letartóztatás esetét.</w:t>
      </w:r>
    </w:p>
    <w:p w14:paraId="4C59AF32" w14:textId="77777777" w:rsidR="00884451" w:rsidRPr="00E4743B" w:rsidRDefault="00884451" w:rsidP="00B506B4">
      <w:pPr>
        <w:pStyle w:val="NormalHanging12a"/>
        <w:widowControl/>
        <w:ind w:left="1134"/>
      </w:pPr>
      <w:r w:rsidRPr="00E4743B">
        <w:lastRenderedPageBreak/>
        <w:t xml:space="preserve">(3) </w:t>
      </w:r>
      <w:r w:rsidRPr="00E4743B">
        <w:tab/>
        <w:t>Szintén a Bundestag engedélye szükséges a képviselő személyes szabadságának bármely egyéb korlátozása esetén vagy a képviselő elleni, 18. cikk szerinti bírósági eljárás megindításához.</w:t>
      </w:r>
    </w:p>
    <w:p w14:paraId="27A2DD38" w14:textId="77777777" w:rsidR="00884451" w:rsidRPr="00E4743B" w:rsidRDefault="00884451" w:rsidP="00B506B4">
      <w:pPr>
        <w:pStyle w:val="NormalHanging12a"/>
        <w:widowControl/>
        <w:ind w:left="1134"/>
      </w:pPr>
      <w:r w:rsidRPr="00E4743B">
        <w:t xml:space="preserve">(4) </w:t>
      </w:r>
      <w:r w:rsidRPr="00E4743B">
        <w:tab/>
        <w:t>A Bundestag kérésére fel kell függeszteni minden, a képviselő ellen indított büntetőeljárást vagy a 18. cikk szerinti bármely eljárást, a képviselő őrizetben tartását vagy személyes szabadságának egyéb korlátozását.”;</w:t>
      </w:r>
    </w:p>
    <w:p w14:paraId="2E0D6ED5" w14:textId="77777777" w:rsidR="00884451" w:rsidRPr="00E4743B" w:rsidRDefault="00884451" w:rsidP="00B506B4">
      <w:pPr>
        <w:pStyle w:val="NormalHanging12a"/>
        <w:widowControl/>
      </w:pPr>
      <w:r w:rsidRPr="00E4743B">
        <w:t>G.</w:t>
      </w:r>
      <w:r w:rsidRPr="00E4743B">
        <w:tab/>
        <w:t>mivel az Európai Unió kiváltságairól és mentességeiről szóló 7.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eljárásoktól;</w:t>
      </w:r>
    </w:p>
    <w:p w14:paraId="5461B1C7" w14:textId="77777777" w:rsidR="00884451" w:rsidRPr="00E4743B" w:rsidRDefault="00884451" w:rsidP="00B506B4">
      <w:pPr>
        <w:pStyle w:val="NormalHanging12a"/>
        <w:widowControl/>
      </w:pPr>
      <w:r w:rsidRPr="00E4743B">
        <w:t>H.</w:t>
      </w:r>
      <w:r w:rsidRPr="00E4743B">
        <w:tab/>
        <w:t>mivel az Európai Parlament eljárási szabályzata 5. cikkének (2) bekezdésével összhangban a parlamenti mentelmi jog nem a képviselők személyes kiváltsága, hanem a teljes Parlament és az egyes képviselők függetlenségének biztosítéka;</w:t>
      </w:r>
    </w:p>
    <w:p w14:paraId="42EDF550" w14:textId="35612E83" w:rsidR="00884451" w:rsidRPr="00E4743B" w:rsidRDefault="00884451" w:rsidP="00B506B4">
      <w:pPr>
        <w:pStyle w:val="NormalHanging12a"/>
        <w:widowControl/>
      </w:pPr>
      <w:r w:rsidRPr="00E4743B">
        <w:t>I.</w:t>
      </w:r>
      <w:r w:rsidRPr="00E4743B">
        <w:tab/>
        <w:t>mivel a Parlament</w:t>
      </w:r>
      <w:r w:rsidR="00F01819" w:rsidRPr="00E4743B">
        <w:t xml:space="preserve"> ebben az ügyben</w:t>
      </w:r>
      <w:r w:rsidRPr="00E4743B">
        <w:t xml:space="preserve"> nem talált bizonyítékot </w:t>
      </w:r>
      <w:proofErr w:type="spellStart"/>
      <w:r w:rsidRPr="00E4743B">
        <w:rPr>
          <w:i/>
          <w:iCs/>
        </w:rPr>
        <w:t>fumus</w:t>
      </w:r>
      <w:proofErr w:type="spellEnd"/>
      <w:r w:rsidRPr="00E4743B">
        <w:rPr>
          <w:i/>
          <w:iCs/>
        </w:rPr>
        <w:t xml:space="preserve"> </w:t>
      </w:r>
      <w:proofErr w:type="spellStart"/>
      <w:r w:rsidRPr="00E4743B">
        <w:rPr>
          <w:i/>
          <w:iCs/>
        </w:rPr>
        <w:t>persecutionis</w:t>
      </w:r>
      <w:proofErr w:type="spellEnd"/>
      <w:r w:rsidRPr="00E4743B">
        <w:t xml:space="preserve"> fennállására, azaz olyan ténybeli elemekre, amelyek arra utalnának, hogy a szóban forgó bírósági eljárást azzal a szándékkal indították, hogy aláássák a képviselőnek az Európai Parlament képviselőjeként folytatott politikai tevékenységét;</w:t>
      </w:r>
    </w:p>
    <w:p w14:paraId="3DE8C59F" w14:textId="7AC469DB" w:rsidR="00884451" w:rsidRPr="00E4743B" w:rsidRDefault="00884451" w:rsidP="00B506B4">
      <w:pPr>
        <w:pStyle w:val="NormalHanging12a"/>
        <w:widowControl/>
      </w:pPr>
      <w:r w:rsidRPr="00E4743B">
        <w:t>J.</w:t>
      </w:r>
      <w:r w:rsidRPr="00E4743B">
        <w:tab/>
        <w:t xml:space="preserve">mivel egyrészről a Parlament </w:t>
      </w:r>
      <w:r w:rsidR="00296C9C" w:rsidRPr="00E4743B">
        <w:t>nem töltheti be bíróság szerepét</w:t>
      </w:r>
      <w:r w:rsidRPr="00E4743B">
        <w:t>, másrészről pedig a mentelmi jog felfüggesztésére irányuló eljárásban az érintett képviselő nem tekinthető vádlottnak</w:t>
      </w:r>
      <w:r w:rsidRPr="00E4743B">
        <w:rPr>
          <w:vertAlign w:val="superscript"/>
        </w:rPr>
        <w:footnoteReference w:id="2"/>
      </w:r>
      <w:r w:rsidR="00621A20" w:rsidRPr="00E4743B">
        <w:t>;</w:t>
      </w:r>
    </w:p>
    <w:p w14:paraId="25F22A26" w14:textId="0DDEFF16" w:rsidR="00884451" w:rsidRPr="00E4743B" w:rsidRDefault="00884451" w:rsidP="00B506B4">
      <w:pPr>
        <w:pStyle w:val="NormalHanging12a"/>
        <w:widowControl/>
      </w:pPr>
      <w:r w:rsidRPr="00E4743B">
        <w:t>1.</w:t>
      </w:r>
      <w:r w:rsidRPr="00E4743B">
        <w:tab/>
        <w:t xml:space="preserve">úgy határoz, hogy felfüggeszti </w:t>
      </w:r>
      <w:proofErr w:type="spellStart"/>
      <w:r w:rsidRPr="00E4743B">
        <w:t>Petr</w:t>
      </w:r>
      <w:proofErr w:type="spellEnd"/>
      <w:r w:rsidR="00FE14B9" w:rsidRPr="00E4743B">
        <w:t xml:space="preserve"> </w:t>
      </w:r>
      <w:proofErr w:type="spellStart"/>
      <w:r w:rsidRPr="00E4743B">
        <w:t>Bystron</w:t>
      </w:r>
      <w:proofErr w:type="spellEnd"/>
      <w:r w:rsidRPr="00E4743B">
        <w:t xml:space="preserve"> mentelmi jogát;</w:t>
      </w:r>
    </w:p>
    <w:p w14:paraId="5647AEEC" w14:textId="3EEC9C2D" w:rsidR="00B5404D" w:rsidRPr="00B5404D" w:rsidRDefault="00884451" w:rsidP="00B506B4">
      <w:pPr>
        <w:pStyle w:val="NormalHanging12a"/>
        <w:widowControl/>
      </w:pPr>
      <w:r w:rsidRPr="00E4743B">
        <w:t>2.</w:t>
      </w:r>
      <w:r w:rsidRPr="00E4743B">
        <w:tab/>
        <w:t xml:space="preserve">utasítja elnökét, hogy haladéktalanul továbbítsa ezt a határozatot és az illetékes bizottság jelentését a Németországi Szövetségi Köztársaság illetékes hatóságának és </w:t>
      </w:r>
      <w:proofErr w:type="spellStart"/>
      <w:r w:rsidRPr="00E4743B">
        <w:t>Petr</w:t>
      </w:r>
      <w:proofErr w:type="spellEnd"/>
      <w:r w:rsidR="00FE14B9" w:rsidRPr="00E4743B">
        <w:t xml:space="preserve"> </w:t>
      </w:r>
      <w:proofErr w:type="spellStart"/>
      <w:r w:rsidRPr="00E4743B">
        <w:t>Bystronnak</w:t>
      </w:r>
      <w:proofErr w:type="spellEnd"/>
      <w:r w:rsidRPr="00E4743B">
        <w:t>.</w:t>
      </w:r>
    </w:p>
    <w:p w14:paraId="4667079F" w14:textId="5F377EC1" w:rsidR="00E365E1" w:rsidRPr="00B5404D" w:rsidRDefault="00E365E1" w:rsidP="00B506B4">
      <w:pPr>
        <w:widowControl/>
        <w:spacing w:after="240"/>
        <w:ind w:left="567" w:hanging="567"/>
      </w:pPr>
    </w:p>
    <w:sectPr w:rsidR="00E365E1" w:rsidRPr="00B5404D" w:rsidSect="00B54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F5BC5" w14:textId="77777777" w:rsidR="00FB4689" w:rsidRPr="00B5404D" w:rsidRDefault="00FB4689">
      <w:r w:rsidRPr="00B5404D">
        <w:separator/>
      </w:r>
    </w:p>
  </w:endnote>
  <w:endnote w:type="continuationSeparator" w:id="0">
    <w:p w14:paraId="5F8E48B4" w14:textId="77777777" w:rsidR="00FB4689" w:rsidRPr="00B5404D" w:rsidRDefault="00FB4689">
      <w:r w:rsidRPr="00B540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3DFD5" w14:textId="77777777" w:rsidR="00064002" w:rsidRPr="00B540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DC302" w14:textId="77777777" w:rsidR="00064002" w:rsidRPr="00B540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5B1AF" w14:textId="77777777" w:rsidR="00064002" w:rsidRPr="00B540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3F31D" w14:textId="77777777" w:rsidR="00FB4689" w:rsidRPr="00B5404D" w:rsidRDefault="00FB4689">
      <w:r w:rsidRPr="00B5404D">
        <w:separator/>
      </w:r>
    </w:p>
  </w:footnote>
  <w:footnote w:type="continuationSeparator" w:id="0">
    <w:p w14:paraId="43EA79A5" w14:textId="77777777" w:rsidR="00FB4689" w:rsidRPr="00B5404D" w:rsidRDefault="00FB4689">
      <w:r w:rsidRPr="00B5404D">
        <w:continuationSeparator/>
      </w:r>
    </w:p>
  </w:footnote>
  <w:footnote w:id="1">
    <w:p w14:paraId="215D3D41" w14:textId="466882F0" w:rsidR="00884451" w:rsidRPr="00B506B4" w:rsidRDefault="00884451" w:rsidP="00B5404D">
      <w:pPr>
        <w:pStyle w:val="FootnoteText"/>
        <w:ind w:left="567" w:hanging="567"/>
        <w:rPr>
          <w:sz w:val="24"/>
          <w:lang w:val="hu-HU"/>
        </w:rPr>
      </w:pPr>
      <w:r w:rsidRPr="00B5404D">
        <w:rPr>
          <w:rStyle w:val="FootnoteReference"/>
          <w:sz w:val="24"/>
          <w:lang w:val="hu-HU"/>
        </w:rPr>
        <w:footnoteRef/>
      </w:r>
      <w:r w:rsidR="00B5404D" w:rsidRPr="00B5404D">
        <w:rPr>
          <w:sz w:val="24"/>
          <w:lang w:val="hu-HU"/>
        </w:rPr>
        <w:t xml:space="preserve"> </w:t>
      </w:r>
      <w:r w:rsidR="00B5404D" w:rsidRPr="00B5404D">
        <w:rPr>
          <w:sz w:val="24"/>
          <w:lang w:val="hu-HU"/>
        </w:rPr>
        <w:tab/>
      </w:r>
      <w:r w:rsidRPr="00B5404D">
        <w:rPr>
          <w:sz w:val="24"/>
          <w:lang w:val="hu-HU"/>
        </w:rPr>
        <w:t xml:space="preserve">A </w:t>
      </w:r>
      <w:r w:rsidRPr="00B506B4">
        <w:rPr>
          <w:sz w:val="24"/>
          <w:lang w:val="hu-HU"/>
        </w:rPr>
        <w:t xml:space="preserve">Bíróság 2008. október 21-i ítélete, Marra kontra De </w:t>
      </w:r>
      <w:proofErr w:type="spellStart"/>
      <w:r w:rsidRPr="00B506B4">
        <w:rPr>
          <w:sz w:val="24"/>
          <w:lang w:val="hu-HU"/>
        </w:rPr>
        <w:t>Gregorio</w:t>
      </w:r>
      <w:proofErr w:type="spellEnd"/>
      <w:r w:rsidRPr="00B506B4">
        <w:rPr>
          <w:sz w:val="24"/>
          <w:lang w:val="hu-HU"/>
        </w:rPr>
        <w:t xml:space="preserve"> és </w:t>
      </w:r>
      <w:proofErr w:type="spellStart"/>
      <w:r w:rsidRPr="00B506B4">
        <w:rPr>
          <w:sz w:val="24"/>
          <w:lang w:val="hu-HU"/>
        </w:rPr>
        <w:t>Clemente</w:t>
      </w:r>
      <w:proofErr w:type="spellEnd"/>
      <w:r w:rsidRPr="00B506B4">
        <w:rPr>
          <w:sz w:val="24"/>
          <w:lang w:val="hu-HU"/>
        </w:rPr>
        <w:t xml:space="preserve">, C-200/07 és C-201/07, ECLI:EU:C:2008:579; a Törvényszék 2010. március 19-i ítélete, </w:t>
      </w:r>
      <w:proofErr w:type="spellStart"/>
      <w:r w:rsidRPr="00B506B4">
        <w:rPr>
          <w:sz w:val="24"/>
          <w:lang w:val="hu-HU"/>
        </w:rPr>
        <w:t>Gollnisch</w:t>
      </w:r>
      <w:proofErr w:type="spellEnd"/>
      <w:r w:rsidRPr="00B506B4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B506B4">
        <w:rPr>
          <w:sz w:val="24"/>
          <w:lang w:val="hu-HU"/>
        </w:rPr>
        <w:t>Patriciello</w:t>
      </w:r>
      <w:proofErr w:type="spellEnd"/>
      <w:r w:rsidRPr="00B506B4">
        <w:rPr>
          <w:sz w:val="24"/>
          <w:lang w:val="hu-HU"/>
        </w:rPr>
        <w:t>, C 163/10, ECLI: EU:C:2011:543; a Törvényszék 2013. január 17-i</w:t>
      </w:r>
      <w:r w:rsidR="005B42B8">
        <w:rPr>
          <w:sz w:val="24"/>
          <w:lang w:val="hu-HU"/>
        </w:rPr>
        <w:t xml:space="preserve"> ítélete</w:t>
      </w:r>
      <w:r w:rsidRPr="00B506B4">
        <w:rPr>
          <w:sz w:val="24"/>
          <w:lang w:val="hu-HU"/>
        </w:rPr>
        <w:t xml:space="preserve">, </w:t>
      </w:r>
      <w:proofErr w:type="spellStart"/>
      <w:r w:rsidRPr="00B506B4">
        <w:rPr>
          <w:sz w:val="24"/>
          <w:lang w:val="hu-HU"/>
        </w:rPr>
        <w:t>Gollnisch</w:t>
      </w:r>
      <w:proofErr w:type="spellEnd"/>
      <w:r w:rsidRPr="00B506B4">
        <w:rPr>
          <w:sz w:val="24"/>
          <w:lang w:val="hu-HU"/>
        </w:rPr>
        <w:t xml:space="preserve"> kontra Európai Parlament, T-346/11 és T-347/11, ECLI:EU:T:2013:23; a Bíróság 2019. december 19-i</w:t>
      </w:r>
      <w:r w:rsidR="005B42B8">
        <w:rPr>
          <w:sz w:val="24"/>
          <w:lang w:val="hu-HU"/>
        </w:rPr>
        <w:t xml:space="preserve"> ítélete</w:t>
      </w:r>
      <w:r w:rsidRPr="00B506B4">
        <w:rPr>
          <w:sz w:val="24"/>
          <w:lang w:val="hu-HU"/>
        </w:rPr>
        <w:t xml:space="preserve">, </w:t>
      </w:r>
      <w:proofErr w:type="spellStart"/>
      <w:r w:rsidRPr="00B506B4">
        <w:rPr>
          <w:sz w:val="24"/>
          <w:lang w:val="hu-HU"/>
        </w:rPr>
        <w:t>Junqueras</w:t>
      </w:r>
      <w:proofErr w:type="spellEnd"/>
      <w:r w:rsidRPr="00B506B4">
        <w:rPr>
          <w:sz w:val="24"/>
          <w:lang w:val="hu-HU"/>
        </w:rPr>
        <w:t xml:space="preserve"> </w:t>
      </w:r>
      <w:proofErr w:type="spellStart"/>
      <w:r w:rsidRPr="00B506B4">
        <w:rPr>
          <w:sz w:val="24"/>
          <w:lang w:val="hu-HU"/>
        </w:rPr>
        <w:t>Vies</w:t>
      </w:r>
      <w:proofErr w:type="spellEnd"/>
      <w:r w:rsidRPr="00B506B4">
        <w:rPr>
          <w:sz w:val="24"/>
          <w:lang w:val="hu-HU"/>
        </w:rPr>
        <w:t>, C-502/19, ECLI:EU:C:2019:1115; a Törvényszék 2023. július 5-i</w:t>
      </w:r>
      <w:r w:rsidR="005B42B8">
        <w:rPr>
          <w:sz w:val="24"/>
          <w:lang w:val="hu-HU"/>
        </w:rPr>
        <w:t xml:space="preserve"> ítélete</w:t>
      </w:r>
      <w:r w:rsidRPr="00B506B4">
        <w:rPr>
          <w:sz w:val="24"/>
          <w:lang w:val="hu-HU"/>
        </w:rPr>
        <w:t xml:space="preserve">, </w:t>
      </w:r>
      <w:proofErr w:type="spellStart"/>
      <w:r w:rsidRPr="00B506B4">
        <w:rPr>
          <w:sz w:val="24"/>
          <w:lang w:val="hu-HU"/>
        </w:rPr>
        <w:t>Puigdemont</w:t>
      </w:r>
      <w:proofErr w:type="spellEnd"/>
      <w:r w:rsidRPr="00B506B4">
        <w:rPr>
          <w:sz w:val="24"/>
          <w:lang w:val="hu-HU"/>
        </w:rPr>
        <w:t xml:space="preserve"> i </w:t>
      </w:r>
      <w:proofErr w:type="spellStart"/>
      <w:r w:rsidRPr="00B506B4">
        <w:rPr>
          <w:sz w:val="24"/>
          <w:lang w:val="hu-HU"/>
        </w:rPr>
        <w:t>Casamajó</w:t>
      </w:r>
      <w:proofErr w:type="spellEnd"/>
      <w:r w:rsidRPr="00B506B4">
        <w:rPr>
          <w:sz w:val="24"/>
          <w:lang w:val="hu-HU"/>
        </w:rPr>
        <w:t xml:space="preserve"> és társai kontra Európai Parlament, T-272/21, ECLI:EU:T:2023:373.</w:t>
      </w:r>
    </w:p>
  </w:footnote>
  <w:footnote w:id="2">
    <w:p w14:paraId="1103B4B1" w14:textId="327416DE" w:rsidR="00884451" w:rsidRPr="00B506B4" w:rsidRDefault="00884451" w:rsidP="00B5404D">
      <w:pPr>
        <w:pStyle w:val="FootnoteText"/>
        <w:ind w:left="567" w:hanging="567"/>
        <w:rPr>
          <w:sz w:val="24"/>
          <w:lang w:val="hu-HU"/>
        </w:rPr>
      </w:pPr>
      <w:r w:rsidRPr="00B5404D">
        <w:rPr>
          <w:rStyle w:val="FootnoteReference"/>
          <w:sz w:val="24"/>
          <w:lang w:val="hu-HU"/>
        </w:rPr>
        <w:footnoteRef/>
      </w:r>
      <w:r w:rsidR="00B5404D" w:rsidRPr="00B5404D">
        <w:rPr>
          <w:sz w:val="24"/>
          <w:lang w:val="hu-HU"/>
        </w:rPr>
        <w:t xml:space="preserve"> </w:t>
      </w:r>
      <w:r w:rsidR="00B5404D" w:rsidRPr="00B5404D">
        <w:rPr>
          <w:sz w:val="24"/>
          <w:lang w:val="hu-HU"/>
        </w:rPr>
        <w:tab/>
      </w:r>
      <w:r w:rsidRPr="00B5404D">
        <w:rPr>
          <w:sz w:val="24"/>
          <w:lang w:val="hu-HU"/>
        </w:rPr>
        <w:t xml:space="preserve">A </w:t>
      </w:r>
      <w:r w:rsidRPr="00B506B4">
        <w:rPr>
          <w:sz w:val="24"/>
          <w:lang w:val="hu-HU"/>
        </w:rPr>
        <w:t>Törvényszék 2019. április 30-i</w:t>
      </w:r>
      <w:r w:rsidR="00F01819">
        <w:rPr>
          <w:sz w:val="24"/>
          <w:lang w:val="hu-HU"/>
        </w:rPr>
        <w:t xml:space="preserve"> ítélete,</w:t>
      </w:r>
      <w:r w:rsidRPr="00B506B4">
        <w:rPr>
          <w:sz w:val="24"/>
          <w:lang w:val="hu-HU"/>
        </w:rPr>
        <w:t xml:space="preserve"> </w:t>
      </w:r>
      <w:proofErr w:type="spellStart"/>
      <w:r w:rsidRPr="00B506B4">
        <w:rPr>
          <w:sz w:val="24"/>
          <w:lang w:val="hu-HU"/>
        </w:rPr>
        <w:t>Briois</w:t>
      </w:r>
      <w:proofErr w:type="spellEnd"/>
      <w:r w:rsidRPr="00B506B4">
        <w:rPr>
          <w:sz w:val="24"/>
          <w:lang w:val="hu-HU"/>
        </w:rPr>
        <w:t xml:space="preserve"> kontra Európai Parlament, T-214/18, ECLI:</w:t>
      </w:r>
      <w:proofErr w:type="gramStart"/>
      <w:r w:rsidRPr="00B506B4">
        <w:rPr>
          <w:sz w:val="24"/>
          <w:lang w:val="hu-HU"/>
        </w:rPr>
        <w:t>EU:T</w:t>
      </w:r>
      <w:proofErr w:type="gramEnd"/>
      <w:r w:rsidRPr="00B506B4">
        <w:rPr>
          <w:sz w:val="24"/>
          <w:lang w:val="hu-HU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61FE" w14:textId="77777777" w:rsidR="00064002" w:rsidRPr="00B540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8AE4C" w14:textId="77777777" w:rsidR="00064002" w:rsidRPr="00B540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4AB3" w14:textId="77777777" w:rsidR="00064002" w:rsidRPr="00B540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6271694">
    <w:abstractNumId w:val="9"/>
  </w:num>
  <w:num w:numId="2" w16cid:durableId="543756660">
    <w:abstractNumId w:val="9"/>
  </w:num>
  <w:num w:numId="3" w16cid:durableId="937638117">
    <w:abstractNumId w:val="7"/>
  </w:num>
  <w:num w:numId="4" w16cid:durableId="1874878492">
    <w:abstractNumId w:val="7"/>
  </w:num>
  <w:num w:numId="5" w16cid:durableId="2104566179">
    <w:abstractNumId w:val="6"/>
  </w:num>
  <w:num w:numId="6" w16cid:durableId="567230685">
    <w:abstractNumId w:val="6"/>
  </w:num>
  <w:num w:numId="7" w16cid:durableId="1597595190">
    <w:abstractNumId w:val="5"/>
  </w:num>
  <w:num w:numId="8" w16cid:durableId="973871798">
    <w:abstractNumId w:val="5"/>
  </w:num>
  <w:num w:numId="9" w16cid:durableId="1099571010">
    <w:abstractNumId w:val="4"/>
  </w:num>
  <w:num w:numId="10" w16cid:durableId="728528778">
    <w:abstractNumId w:val="4"/>
  </w:num>
  <w:num w:numId="11" w16cid:durableId="119228238">
    <w:abstractNumId w:val="8"/>
  </w:num>
  <w:num w:numId="12" w16cid:durableId="1566523782">
    <w:abstractNumId w:val="8"/>
  </w:num>
  <w:num w:numId="13" w16cid:durableId="28802747">
    <w:abstractNumId w:val="3"/>
  </w:num>
  <w:num w:numId="14" w16cid:durableId="1752770976">
    <w:abstractNumId w:val="3"/>
  </w:num>
  <w:num w:numId="15" w16cid:durableId="2054378788">
    <w:abstractNumId w:val="2"/>
  </w:num>
  <w:num w:numId="16" w16cid:durableId="1748571849">
    <w:abstractNumId w:val="2"/>
  </w:num>
  <w:num w:numId="17" w16cid:durableId="1722433945">
    <w:abstractNumId w:val="1"/>
  </w:num>
  <w:num w:numId="18" w16cid:durableId="281498002">
    <w:abstractNumId w:val="1"/>
  </w:num>
  <w:num w:numId="19" w16cid:durableId="1415667403">
    <w:abstractNumId w:val="0"/>
  </w:num>
  <w:num w:numId="20" w16cid:durableId="1016542783">
    <w:abstractNumId w:val="0"/>
  </w:num>
  <w:num w:numId="21" w16cid:durableId="1354915731">
    <w:abstractNumId w:val="9"/>
  </w:num>
  <w:num w:numId="22" w16cid:durableId="24719462">
    <w:abstractNumId w:val="7"/>
  </w:num>
  <w:num w:numId="23" w16cid:durableId="1474323577">
    <w:abstractNumId w:val="6"/>
  </w:num>
  <w:num w:numId="24" w16cid:durableId="276641795">
    <w:abstractNumId w:val="5"/>
  </w:num>
  <w:num w:numId="25" w16cid:durableId="1351685898">
    <w:abstractNumId w:val="4"/>
  </w:num>
  <w:num w:numId="26" w16cid:durableId="1608613166">
    <w:abstractNumId w:val="8"/>
  </w:num>
  <w:num w:numId="27" w16cid:durableId="581645326">
    <w:abstractNumId w:val="3"/>
  </w:num>
  <w:num w:numId="28" w16cid:durableId="625965667">
    <w:abstractNumId w:val="2"/>
  </w:num>
  <w:num w:numId="29" w16cid:durableId="740298802">
    <w:abstractNumId w:val="1"/>
  </w:num>
  <w:num w:numId="30" w16cid:durableId="1153137486">
    <w:abstractNumId w:val="0"/>
  </w:num>
  <w:num w:numId="31" w16cid:durableId="50152144">
    <w:abstractNumId w:val="9"/>
  </w:num>
  <w:num w:numId="32" w16cid:durableId="1958221530">
    <w:abstractNumId w:val="7"/>
  </w:num>
  <w:num w:numId="33" w16cid:durableId="1139878234">
    <w:abstractNumId w:val="6"/>
  </w:num>
  <w:num w:numId="34" w16cid:durableId="816654743">
    <w:abstractNumId w:val="5"/>
  </w:num>
  <w:num w:numId="35" w16cid:durableId="1089736047">
    <w:abstractNumId w:val="4"/>
  </w:num>
  <w:num w:numId="36" w16cid:durableId="1354066864">
    <w:abstractNumId w:val="8"/>
  </w:num>
  <w:num w:numId="37" w16cid:durableId="1902977954">
    <w:abstractNumId w:val="3"/>
  </w:num>
  <w:num w:numId="38" w16cid:durableId="39592027">
    <w:abstractNumId w:val="2"/>
  </w:num>
  <w:num w:numId="39" w16cid:durableId="2083722534">
    <w:abstractNumId w:val="1"/>
  </w:num>
  <w:num w:numId="40" w16cid:durableId="1515143632">
    <w:abstractNumId w:val="0"/>
  </w:num>
  <w:num w:numId="41" w16cid:durableId="760226491">
    <w:abstractNumId w:val="10"/>
  </w:num>
  <w:num w:numId="42" w16cid:durableId="695082903">
    <w:abstractNumId w:val="10"/>
  </w:num>
  <w:num w:numId="43" w16cid:durableId="556824522">
    <w:abstractNumId w:val="10"/>
  </w:num>
  <w:num w:numId="44" w16cid:durableId="19390241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HU"/>
    <w:docVar w:name="dvnumam" w:val="0"/>
    <w:docVar w:name="dvpe" w:val="781.254"/>
    <w:docVar w:name="dvrapporteur" w:val="Előadó: "/>
    <w:docVar w:name="dvtitre" w:val="Az Európai Parlament 2026.  ...-i határozata a Petr Bystron mentelmi jogának felfüggesztésére irányuló kérelemről(2025/2077(IMM))"/>
  </w:docVars>
  <w:rsids>
    <w:rsidRoot w:val="00FB46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01A7"/>
    <w:rsid w:val="00261319"/>
    <w:rsid w:val="00262394"/>
    <w:rsid w:val="002767FF"/>
    <w:rsid w:val="00296C9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B3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666"/>
    <w:rsid w:val="00560270"/>
    <w:rsid w:val="005B42B8"/>
    <w:rsid w:val="005C2568"/>
    <w:rsid w:val="005F1B17"/>
    <w:rsid w:val="006037C0"/>
    <w:rsid w:val="00621A2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55A"/>
    <w:rsid w:val="00817416"/>
    <w:rsid w:val="00842779"/>
    <w:rsid w:val="00842CF1"/>
    <w:rsid w:val="008631EE"/>
    <w:rsid w:val="00865F67"/>
    <w:rsid w:val="00881A7B"/>
    <w:rsid w:val="008840E5"/>
    <w:rsid w:val="00884451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F0E"/>
    <w:rsid w:val="00AF3B82"/>
    <w:rsid w:val="00B02813"/>
    <w:rsid w:val="00B12E95"/>
    <w:rsid w:val="00B22876"/>
    <w:rsid w:val="00B506B4"/>
    <w:rsid w:val="00B5404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047"/>
    <w:rsid w:val="00E365E1"/>
    <w:rsid w:val="00E4743B"/>
    <w:rsid w:val="00E820A4"/>
    <w:rsid w:val="00EB006A"/>
    <w:rsid w:val="00EB4772"/>
    <w:rsid w:val="00ED169E"/>
    <w:rsid w:val="00ED4235"/>
    <w:rsid w:val="00F01819"/>
    <w:rsid w:val="00F04346"/>
    <w:rsid w:val="00F075DC"/>
    <w:rsid w:val="00F149E9"/>
    <w:rsid w:val="00F5134D"/>
    <w:rsid w:val="00F74202"/>
    <w:rsid w:val="00F87713"/>
    <w:rsid w:val="00FB4360"/>
    <w:rsid w:val="00FB4689"/>
    <w:rsid w:val="00FB7426"/>
    <w:rsid w:val="00FD0C70"/>
    <w:rsid w:val="00FE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964F5"/>
  <w15:chartTrackingRefBased/>
  <w15:docId w15:val="{F1BDC056-DF51-4C64-84B7-A2B1F632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84451"/>
    <w:pPr>
      <w:spacing w:after="240"/>
      <w:ind w:left="567" w:hanging="567"/>
    </w:pPr>
  </w:style>
  <w:style w:type="paragraph" w:customStyle="1" w:styleId="EPComma">
    <w:name w:val="EPComma"/>
    <w:basedOn w:val="Normal"/>
    <w:rsid w:val="00884451"/>
    <w:pPr>
      <w:spacing w:before="480" w:after="240"/>
    </w:pPr>
  </w:style>
  <w:style w:type="paragraph" w:styleId="Revision">
    <w:name w:val="Revision"/>
    <w:hidden/>
    <w:uiPriority w:val="99"/>
    <w:semiHidden/>
    <w:rsid w:val="00B506B4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767</Words>
  <Characters>5495</Characters>
  <Application>Microsoft Office Word</Application>
  <DocSecurity>0</DocSecurity>
  <Lines>219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2026-02-10T12:17:00Z</dcterms:created>
  <dcterms:modified xsi:type="dcterms:W3CDTF">2026-02-10T12:17:00Z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