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3B99" w14:paraId="70B23D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AF0087" w14:textId="77777777" w:rsidR="00751A4A" w:rsidRPr="007B3B99" w:rsidRDefault="00EE2399" w:rsidP="0010095E">
            <w:pPr>
              <w:pStyle w:val="EPName"/>
            </w:pPr>
            <w:r w:rsidRPr="007B3B99">
              <w:t>Parlamento europeo</w:t>
            </w:r>
          </w:p>
          <w:p w14:paraId="58B428E3" w14:textId="77777777" w:rsidR="00751A4A" w:rsidRPr="007B3B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B99">
              <w:t>2024</w:t>
            </w:r>
            <w:r w:rsidR="00817416" w:rsidRPr="007B3B99">
              <w:t>-202</w:t>
            </w:r>
            <w:r w:rsidRPr="007B3B99">
              <w:t>9</w:t>
            </w:r>
          </w:p>
        </w:tc>
        <w:tc>
          <w:tcPr>
            <w:tcW w:w="2268" w:type="dxa"/>
            <w:shd w:val="clear" w:color="auto" w:fill="auto"/>
          </w:tcPr>
          <w:p w14:paraId="1291713F" w14:textId="77777777" w:rsidR="00751A4A" w:rsidRPr="007B3B99" w:rsidRDefault="00187494" w:rsidP="0010095E">
            <w:pPr>
              <w:pStyle w:val="EPLogo"/>
            </w:pPr>
            <w:r w:rsidRPr="007B3B99">
              <w:rPr>
                <w:noProof/>
                <w:lang w:eastAsia="ja-JP"/>
              </w:rPr>
              <w:drawing>
                <wp:inline distT="0" distB="0" distL="0" distR="0" wp14:anchorId="71C32846" wp14:editId="66ED00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FDA28" w14:textId="77777777" w:rsidR="00D058B8" w:rsidRPr="007B3B99" w:rsidRDefault="00D058B8" w:rsidP="004C5D52">
      <w:pPr>
        <w:pStyle w:val="LineTop"/>
      </w:pPr>
    </w:p>
    <w:p w14:paraId="26C0E8CE" w14:textId="77777777" w:rsidR="00680577" w:rsidRPr="007B3B99" w:rsidRDefault="00EE2399" w:rsidP="00680577">
      <w:pPr>
        <w:pStyle w:val="EPBodyTA1"/>
      </w:pPr>
      <w:r w:rsidRPr="007B3B99">
        <w:t>TESTI APPROVATI</w:t>
      </w:r>
    </w:p>
    <w:p w14:paraId="51AFEA1F" w14:textId="77777777" w:rsidR="00D058B8" w:rsidRPr="007B3B99" w:rsidRDefault="00D058B8" w:rsidP="00D058B8">
      <w:pPr>
        <w:pStyle w:val="LineBottom"/>
      </w:pPr>
    </w:p>
    <w:p w14:paraId="64B590F2" w14:textId="46C706C3" w:rsidR="00EE2399" w:rsidRPr="007B3B99" w:rsidRDefault="00EE2399" w:rsidP="00EE2399">
      <w:pPr>
        <w:pStyle w:val="ATHeading1"/>
      </w:pPr>
      <w:bookmarkStart w:id="0" w:name="TANumber"/>
      <w:r w:rsidRPr="007B3B99">
        <w:t>P10_</w:t>
      </w:r>
      <w:proofErr w:type="gramStart"/>
      <w:r w:rsidRPr="007B3B99">
        <w:t>TA(</w:t>
      </w:r>
      <w:proofErr w:type="gramEnd"/>
      <w:r w:rsidRPr="007B3B99">
        <w:t>2026)00</w:t>
      </w:r>
      <w:r w:rsidR="000E722D">
        <w:t>27</w:t>
      </w:r>
      <w:bookmarkEnd w:id="0"/>
    </w:p>
    <w:p w14:paraId="248688CE" w14:textId="77777777" w:rsidR="00EE2399" w:rsidRPr="007B3B99" w:rsidRDefault="00EE2399" w:rsidP="00EE2399">
      <w:pPr>
        <w:pStyle w:val="ATHeading2"/>
      </w:pPr>
      <w:bookmarkStart w:id="1" w:name="title"/>
      <w:r w:rsidRPr="007B3B99">
        <w:t xml:space="preserve">Richiesta di revoca dell'immunità di Petr </w:t>
      </w:r>
      <w:proofErr w:type="spellStart"/>
      <w:r w:rsidRPr="007B3B99">
        <w:t>Bystron</w:t>
      </w:r>
      <w:bookmarkEnd w:id="1"/>
      <w:proofErr w:type="spellEnd"/>
    </w:p>
    <w:p w14:paraId="583B0819" w14:textId="77777777" w:rsidR="00EE2399" w:rsidRPr="007B3B99" w:rsidRDefault="00EE2399" w:rsidP="00EE2399">
      <w:pPr>
        <w:rPr>
          <w:i/>
          <w:vanish/>
        </w:rPr>
      </w:pPr>
      <w:r w:rsidRPr="007B3B99">
        <w:rPr>
          <w:i/>
        </w:rPr>
        <w:fldChar w:fldCharType="begin"/>
      </w:r>
      <w:r w:rsidRPr="007B3B99">
        <w:rPr>
          <w:i/>
        </w:rPr>
        <w:instrText xml:space="preserve"> TC"(</w:instrText>
      </w:r>
      <w:bookmarkStart w:id="2" w:name="DocNumber"/>
      <w:r w:rsidRPr="007B3B99">
        <w:rPr>
          <w:i/>
        </w:rPr>
        <w:instrText>A10-0009/2026</w:instrText>
      </w:r>
      <w:bookmarkEnd w:id="2"/>
      <w:r w:rsidRPr="007B3B99">
        <w:rPr>
          <w:i/>
        </w:rPr>
        <w:instrText xml:space="preserve"> - Relatore: </w:instrText>
      </w:r>
      <w:proofErr w:type="spellStart"/>
      <w:r w:rsidRPr="007B3B99">
        <w:rPr>
          <w:i/>
        </w:rPr>
        <w:instrText>Adrián</w:instrText>
      </w:r>
      <w:proofErr w:type="spellEnd"/>
      <w:r w:rsidRPr="007B3B99">
        <w:rPr>
          <w:i/>
        </w:rPr>
        <w:instrText xml:space="preserve"> Vázquez </w:instrText>
      </w:r>
      <w:proofErr w:type="spellStart"/>
      <w:r w:rsidRPr="007B3B99">
        <w:rPr>
          <w:i/>
        </w:rPr>
        <w:instrText>Lázara</w:instrText>
      </w:r>
      <w:proofErr w:type="spellEnd"/>
      <w:r w:rsidRPr="007B3B99">
        <w:rPr>
          <w:i/>
        </w:rPr>
        <w:instrText xml:space="preserve">)"\l3 \n&gt; \* MERGEFORMAT </w:instrText>
      </w:r>
      <w:r w:rsidRPr="007B3B99">
        <w:rPr>
          <w:i/>
        </w:rPr>
        <w:fldChar w:fldCharType="end"/>
      </w:r>
    </w:p>
    <w:p w14:paraId="6BB288F0" w14:textId="77777777" w:rsidR="00EE2399" w:rsidRPr="007B3B99" w:rsidRDefault="00EE2399" w:rsidP="00EE2399">
      <w:pPr>
        <w:rPr>
          <w:vanish/>
        </w:rPr>
      </w:pPr>
      <w:bookmarkStart w:id="3" w:name="Commission"/>
      <w:r w:rsidRPr="007B3B99">
        <w:rPr>
          <w:vanish/>
        </w:rPr>
        <w:t>Commissione giuridica</w:t>
      </w:r>
      <w:bookmarkEnd w:id="3"/>
    </w:p>
    <w:p w14:paraId="3B3C4192" w14:textId="77777777" w:rsidR="00EE2399" w:rsidRPr="007B3B99" w:rsidRDefault="00EE2399" w:rsidP="00EE2399">
      <w:pPr>
        <w:rPr>
          <w:vanish/>
        </w:rPr>
      </w:pPr>
      <w:bookmarkStart w:id="4" w:name="PE"/>
      <w:r w:rsidRPr="007B3B99">
        <w:rPr>
          <w:vanish/>
        </w:rPr>
        <w:t>PE781.254</w:t>
      </w:r>
      <w:bookmarkEnd w:id="4"/>
    </w:p>
    <w:p w14:paraId="11AC448D" w14:textId="77777777" w:rsidR="00EE2399" w:rsidRPr="007B3B99" w:rsidRDefault="00EE2399" w:rsidP="00EE2399">
      <w:pPr>
        <w:pStyle w:val="ATHeading3"/>
      </w:pPr>
      <w:bookmarkStart w:id="5" w:name="Sujet"/>
      <w:r w:rsidRPr="007B3B99">
        <w:t xml:space="preserve">Decisione del Parlamento europeo del 10 febbraio 2026 sulla richiesta di revoca dell'immunità di Petr </w:t>
      </w:r>
      <w:proofErr w:type="spellStart"/>
      <w:r w:rsidRPr="007B3B99">
        <w:t>Bystron</w:t>
      </w:r>
      <w:bookmarkEnd w:id="5"/>
      <w:proofErr w:type="spellEnd"/>
      <w:r w:rsidRPr="007B3B99">
        <w:t xml:space="preserve"> </w:t>
      </w:r>
      <w:bookmarkStart w:id="6" w:name="References"/>
      <w:r w:rsidRPr="007B3B99">
        <w:t>(2025/2077(IMM))</w:t>
      </w:r>
      <w:bookmarkEnd w:id="6"/>
    </w:p>
    <w:p w14:paraId="45EEF1BE" w14:textId="77777777" w:rsidR="00AB7322" w:rsidRPr="007B3B99" w:rsidRDefault="00AB7322" w:rsidP="00AB7322">
      <w:pPr>
        <w:pStyle w:val="EPComma"/>
      </w:pPr>
      <w:bookmarkStart w:id="7" w:name="TextBodyBegin"/>
      <w:bookmarkEnd w:id="7"/>
      <w:r w:rsidRPr="007B3B99">
        <w:rPr>
          <w:i/>
        </w:rPr>
        <w:t>Il Parlamento europeo</w:t>
      </w:r>
      <w:r w:rsidRPr="007B3B99">
        <w:t>,</w:t>
      </w:r>
    </w:p>
    <w:p w14:paraId="7ABCE6AD" w14:textId="29E99371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 xml:space="preserve">vista la richiesta di revoca dell'immunità di Petr </w:t>
      </w:r>
      <w:proofErr w:type="spellStart"/>
      <w:r w:rsidRPr="007B3B99">
        <w:t>Bystron</w:t>
      </w:r>
      <w:proofErr w:type="spellEnd"/>
      <w:r w:rsidRPr="007B3B99">
        <w:t xml:space="preserve">, </w:t>
      </w:r>
      <w:r w:rsidR="008C7499">
        <w:t>ricevuta</w:t>
      </w:r>
      <w:r w:rsidRPr="007B3B99">
        <w:t xml:space="preserve"> con lettera in data 24 ottobre 2024 dal ministero federale tedesco della Giustizia, recante una richiesta del procuratore generale di Monaco di Baviera, nel quadro di un procedimento penale avviato a carico di Petr </w:t>
      </w:r>
      <w:proofErr w:type="spellStart"/>
      <w:r w:rsidRPr="007B3B99">
        <w:t>Bystron</w:t>
      </w:r>
      <w:proofErr w:type="spellEnd"/>
      <w:r w:rsidRPr="007B3B99">
        <w:t>, e comunicata in Aula il 3 aprile 2025,</w:t>
      </w:r>
    </w:p>
    <w:p w14:paraId="3BEA8730" w14:textId="77777777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 xml:space="preserve">visto il diritto di essere ascoltato a norma dell'articolo 9, paragrafo 6, del regolamento, al quale Petr </w:t>
      </w:r>
      <w:proofErr w:type="spellStart"/>
      <w:r w:rsidRPr="007B3B99">
        <w:t>Bystron</w:t>
      </w:r>
      <w:proofErr w:type="spellEnd"/>
      <w:r w:rsidRPr="007B3B99">
        <w:t xml:space="preserve"> avrebbe rinunciato,</w:t>
      </w:r>
    </w:p>
    <w:p w14:paraId="2F511E85" w14:textId="77777777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14:paraId="560CA53D" w14:textId="77777777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>viste le sentenze pronunciate dalla Corte di giustizia dell'Unione europea il 21 ottobre 2008, 19 marzo 2010, 6 settembre 2011, 17 gennaio 2013, 19 dicembre 2019 e 5 luglio 2023</w:t>
      </w:r>
      <w:r w:rsidRPr="007B3B99">
        <w:rPr>
          <w:vertAlign w:val="superscript"/>
        </w:rPr>
        <w:footnoteReference w:id="1"/>
      </w:r>
      <w:r w:rsidRPr="007B3B99">
        <w:t>,</w:t>
      </w:r>
    </w:p>
    <w:p w14:paraId="3E2BF598" w14:textId="77777777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>visto l'articolo 46 della Legge fondamentale della Repubblica federale di Germania,</w:t>
      </w:r>
    </w:p>
    <w:p w14:paraId="3779994B" w14:textId="77777777" w:rsidR="00AB7322" w:rsidRPr="007B3B99" w:rsidRDefault="00AB7322" w:rsidP="00AB7322">
      <w:pPr>
        <w:pStyle w:val="NormalHanging12a"/>
      </w:pPr>
      <w:r w:rsidRPr="007B3B99">
        <w:t>–</w:t>
      </w:r>
      <w:r w:rsidRPr="007B3B99">
        <w:tab/>
        <w:t>visti l'articolo 5, paragrafo 2, l'articolo 6, paragrafo 1, e l'articolo 9 del suo regolamento,</w:t>
      </w:r>
    </w:p>
    <w:p w14:paraId="4EFA9A40" w14:textId="77777777" w:rsidR="00AB7322" w:rsidRPr="007B3B99" w:rsidRDefault="00AB7322" w:rsidP="00AB7322">
      <w:pPr>
        <w:pStyle w:val="NormalHanging12a"/>
      </w:pPr>
      <w:r w:rsidRPr="007B3B99">
        <w:lastRenderedPageBreak/>
        <w:t>–</w:t>
      </w:r>
      <w:r w:rsidRPr="007B3B99">
        <w:tab/>
        <w:t>vista la relazione della commissione giuridica (A10</w:t>
      </w:r>
      <w:r w:rsidRPr="007B3B99">
        <w:noBreakHyphen/>
        <w:t>0009/2026),</w:t>
      </w:r>
    </w:p>
    <w:p w14:paraId="7EFC7871" w14:textId="651BAD44" w:rsidR="00AB7322" w:rsidRPr="007B3B99" w:rsidRDefault="00AB7322" w:rsidP="00AB7322">
      <w:pPr>
        <w:pStyle w:val="NormalHanging12a"/>
      </w:pPr>
      <w:r w:rsidRPr="007B3B99">
        <w:t>A.</w:t>
      </w:r>
      <w:r w:rsidRPr="007B3B99">
        <w:tab/>
        <w:t xml:space="preserve">considerando che il ministero federale tedesco della Giustizia ha trasmesso una richiesta di revoca dell'immunità di Petr </w:t>
      </w:r>
      <w:proofErr w:type="spellStart"/>
      <w:r w:rsidRPr="007B3B99">
        <w:t>Bystron</w:t>
      </w:r>
      <w:proofErr w:type="spellEnd"/>
      <w:r w:rsidRPr="007B3B99">
        <w:t>, deputato al Parlamento europeo</w:t>
      </w:r>
      <w:r w:rsidR="008C7499">
        <w:t xml:space="preserve"> eletto in Germania</w:t>
      </w:r>
      <w:r w:rsidRPr="007B3B99">
        <w:t xml:space="preserve">, presentata dal procuratore generale di Monaco di Baviera in relazione a presunti fatti che potrebbero costituire una frode ai sensi dell'articolo 263, paragrafo 1, del </w:t>
      </w:r>
      <w:proofErr w:type="gramStart"/>
      <w:r w:rsidRPr="007B3B99">
        <w:t>codice penale</w:t>
      </w:r>
      <w:proofErr w:type="gramEnd"/>
      <w:r w:rsidRPr="007B3B99">
        <w:t xml:space="preserve"> tedesco, per quanto riguarda una presunta falsa dichiarazione inerente all'erogazione di un'indennità forfettaria;</w:t>
      </w:r>
    </w:p>
    <w:p w14:paraId="36A5762C" w14:textId="77777777" w:rsidR="00AB7322" w:rsidRPr="007B3B99" w:rsidRDefault="00AB7322" w:rsidP="00AB7322">
      <w:pPr>
        <w:pStyle w:val="NormalHanging12a"/>
      </w:pPr>
      <w:r w:rsidRPr="007B3B99">
        <w:t>B.</w:t>
      </w:r>
      <w:r w:rsidRPr="007B3B99">
        <w:tab/>
        <w:t xml:space="preserve">considerando che, secondo quanto indicato nella richiesta, Petr </w:t>
      </w:r>
      <w:proofErr w:type="spellStart"/>
      <w:r w:rsidRPr="007B3B99">
        <w:t>Bystron</w:t>
      </w:r>
      <w:proofErr w:type="spellEnd"/>
      <w:r w:rsidRPr="007B3B99">
        <w:t xml:space="preserve"> è stato membro del Bundestag tedesco dal 2017 al luglio 2024; che, in qualità di membro del Bundestag tedesco, aveva diritto, ai sensi dell'articolo 12, paragrafo 3, della legge relativa ai deputati del Bundestag (</w:t>
      </w:r>
      <w:proofErr w:type="spellStart"/>
      <w:r w:rsidRPr="007B3B99">
        <w:rPr>
          <w:i/>
          <w:iCs/>
        </w:rPr>
        <w:t>Abgeordnetengesetz</w:t>
      </w:r>
      <w:proofErr w:type="spellEnd"/>
      <w:r w:rsidRPr="007B3B99">
        <w:t xml:space="preserve"> – </w:t>
      </w:r>
      <w:proofErr w:type="spellStart"/>
      <w:r w:rsidRPr="007B3B99">
        <w:t>AbgG</w:t>
      </w:r>
      <w:proofErr w:type="spellEnd"/>
      <w:r w:rsidRPr="007B3B99">
        <w:t xml:space="preserve">), a un'indennità forfettaria per coprire, tra l'altro, le spese derivanti dall'assunzione di personale; che il 10 novembre 2021 Petr </w:t>
      </w:r>
      <w:proofErr w:type="spellStart"/>
      <w:r w:rsidRPr="007B3B99">
        <w:t>Bystron</w:t>
      </w:r>
      <w:proofErr w:type="spellEnd"/>
      <w:r w:rsidRPr="007B3B99">
        <w:t xml:space="preserve"> ha firmato un contratto di lavoro per assumere un membro del personale in qualità di "impiegata/dattilografa" nel suo ufficio elettorale circoscrizionale a Monaco di Baviera; che, presentando il contratto di lavoro all'amministrazione del Bundestag, Petr </w:t>
      </w:r>
      <w:proofErr w:type="spellStart"/>
      <w:r w:rsidRPr="007B3B99">
        <w:t>Bystron</w:t>
      </w:r>
      <w:proofErr w:type="spellEnd"/>
      <w:r w:rsidRPr="007B3B99">
        <w:t xml:space="preserve"> avrebbe dichiarato espressamente che tale membro del personale avrebbe svolto l'attività di impiegata/dattilografa nel suo ufficio elettorale circoscrizionale; che, secondo quanto indicato nella richiesta, tale membro del personale non ha difatti svolto l'attività di impiegata/dattilografa; che, date le informazioni inesatte contenute nel contratto di lavoro, l'amministrazione del Bundestag avrebbe erroneamente ritenuto che le condizioni per l'erogazione dell'indennità forfettaria di cui all'articolo 12, paragrafo 3 </w:t>
      </w:r>
      <w:proofErr w:type="spellStart"/>
      <w:r w:rsidRPr="007B3B99">
        <w:t>AbgG</w:t>
      </w:r>
      <w:proofErr w:type="spellEnd"/>
      <w:r w:rsidRPr="007B3B99">
        <w:t xml:space="preserve">, fossero soddisfatte e ha quindi predisposto il versamento della retribuzione a favore del membro del personale in questione (per un totale di circa 14 850 EUR); che, stando alle informazioni contenute nella richiesta, tali circostanze erano note a Petr </w:t>
      </w:r>
      <w:proofErr w:type="spellStart"/>
      <w:r w:rsidRPr="007B3B99">
        <w:t>Bystron</w:t>
      </w:r>
      <w:proofErr w:type="spellEnd"/>
      <w:r w:rsidRPr="007B3B99">
        <w:t>, che, pertanto, è sospettato di aver reso intenzionalmente una falsa dichiarazione;</w:t>
      </w:r>
    </w:p>
    <w:p w14:paraId="04B337DA" w14:textId="77777777" w:rsidR="00AB7322" w:rsidRPr="007B3B99" w:rsidRDefault="00AB7322" w:rsidP="00AB7322">
      <w:pPr>
        <w:pStyle w:val="NormalHanging12a"/>
      </w:pPr>
      <w:r w:rsidRPr="007B3B99">
        <w:t>C.</w:t>
      </w:r>
      <w:r w:rsidRPr="007B3B99">
        <w:tab/>
        <w:t xml:space="preserve">considerando che Petr </w:t>
      </w:r>
      <w:proofErr w:type="spellStart"/>
      <w:r w:rsidRPr="007B3B99">
        <w:t>Bystron</w:t>
      </w:r>
      <w:proofErr w:type="spellEnd"/>
      <w:r w:rsidRPr="007B3B99">
        <w:t xml:space="preserve"> è stato eletto al Parlamento europeo in occasione delle elezioni europee del giugno 2024 e che non era deputato al Parlamento europeo all'epoca dei presunti reati;</w:t>
      </w:r>
    </w:p>
    <w:p w14:paraId="6A724CB5" w14:textId="644B12F3" w:rsidR="00AB7322" w:rsidRPr="007B3B99" w:rsidRDefault="00AB7322" w:rsidP="00AB7322">
      <w:pPr>
        <w:pStyle w:val="NormalHanging12a"/>
      </w:pPr>
      <w:r w:rsidRPr="007B3B99">
        <w:t>D.</w:t>
      </w:r>
      <w:r w:rsidRPr="007B3B99">
        <w:tab/>
        <w:t xml:space="preserve">considerando che il presunto reato e la successiva richiesta di revoca dell'immunità non si riferiscono </w:t>
      </w:r>
      <w:r w:rsidR="00050D01">
        <w:t>a</w:t>
      </w:r>
      <w:r w:rsidR="00050D01" w:rsidRPr="007B3B99">
        <w:t xml:space="preserve"> </w:t>
      </w:r>
      <w:r w:rsidRPr="007B3B99">
        <w:t xml:space="preserve">opinioni o </w:t>
      </w:r>
      <w:r w:rsidR="00050D01">
        <w:t>a</w:t>
      </w:r>
      <w:r w:rsidR="00050D01" w:rsidRPr="007B3B99">
        <w:t xml:space="preserve"> </w:t>
      </w:r>
      <w:r w:rsidRPr="007B3B99">
        <w:t xml:space="preserve">voti espressi da Petr </w:t>
      </w:r>
      <w:proofErr w:type="spellStart"/>
      <w:r w:rsidRPr="007B3B99">
        <w:t>Bystron</w:t>
      </w:r>
      <w:proofErr w:type="spellEnd"/>
      <w:r w:rsidRPr="007B3B99">
        <w:t xml:space="preserve"> nell'esercizio delle sue funzioni ai sensi dell'articolo 8 del protocollo n. 7 sui privilegi e sulle immunità dell'Unione europea;</w:t>
      </w:r>
    </w:p>
    <w:p w14:paraId="3DF5A388" w14:textId="10EEA069" w:rsidR="00AB7322" w:rsidRPr="007B3B99" w:rsidRDefault="00AB7322" w:rsidP="00AB7322">
      <w:pPr>
        <w:pStyle w:val="NormalHanging12a"/>
      </w:pPr>
      <w:r w:rsidRPr="007B3B99">
        <w:t>E.</w:t>
      </w:r>
      <w:r w:rsidRPr="007B3B99">
        <w:tab/>
        <w:t xml:space="preserve">considerando che l'articolo 9, primo comma, lettera a), del protocollo n. 7 sui privilegi e sulle immunità dell'Unione europea stabilisce che, per la durata delle sessioni del Parlamento europeo, i </w:t>
      </w:r>
      <w:r w:rsidRPr="00E23B31">
        <w:t>me</w:t>
      </w:r>
      <w:r w:rsidRPr="00050D01">
        <w:t>mbri di esso</w:t>
      </w:r>
      <w:r w:rsidRPr="007B3B99">
        <w:t xml:space="preserve"> beneficiano, sul territorio nazionale, delle immunità riconosciute ai membri del Parlamento </w:t>
      </w:r>
      <w:r w:rsidRPr="00E23B31">
        <w:t>del loro Stato</w:t>
      </w:r>
      <w:r w:rsidRPr="007B3B99">
        <w:t>;</w:t>
      </w:r>
    </w:p>
    <w:p w14:paraId="138F61D7" w14:textId="77777777" w:rsidR="00AB7322" w:rsidRPr="007B3B99" w:rsidRDefault="00AB7322" w:rsidP="00AB7322">
      <w:pPr>
        <w:pStyle w:val="NormalHanging12a"/>
      </w:pPr>
      <w:r w:rsidRPr="007B3B99">
        <w:t>F.</w:t>
      </w:r>
      <w:r w:rsidRPr="007B3B99">
        <w:tab/>
        <w:t>considerando che l'articolo 46, paragrafi 2, 3 e 4, della Legge fondamentale della Repubblica federale di Germania dispone quanto segue:</w:t>
      </w:r>
    </w:p>
    <w:p w14:paraId="7EA928E1" w14:textId="2F22D2D7" w:rsidR="00AB7322" w:rsidRPr="007B3B99" w:rsidRDefault="00AB7322" w:rsidP="00AB7322">
      <w:pPr>
        <w:pStyle w:val="NormalHanging12a"/>
        <w:ind w:left="1134"/>
      </w:pPr>
      <w:r w:rsidRPr="007B3B99">
        <w:t>"2)</w:t>
      </w:r>
      <w:r w:rsidRPr="007B3B99">
        <w:tab/>
        <w:t>Un deputato non può essere chiamato a rispondere o essere arrestato per un reato punibile senza l'autorizzazione del Bundestag a meno che non sia stato arrestato in flagrante delitto o nel corso del giorno successivo alla commissione di tale reato.</w:t>
      </w:r>
    </w:p>
    <w:p w14:paraId="3A922D49" w14:textId="65FF3E6C" w:rsidR="00AB7322" w:rsidRPr="007B3B99" w:rsidRDefault="00AB7322" w:rsidP="00AB7322">
      <w:pPr>
        <w:pStyle w:val="NormalHanging12a"/>
        <w:ind w:left="1134"/>
      </w:pPr>
      <w:r w:rsidRPr="007B3B99">
        <w:t>3)</w:t>
      </w:r>
      <w:r w:rsidRPr="007B3B99">
        <w:tab/>
        <w:t>L'autorizzazione del Bundestag è inoltre necessaria per qualsiasi altra restrizione della libertà personale di un deputato o per avviare un procedimento contro un deputato ai sensi dell'articolo 18.</w:t>
      </w:r>
    </w:p>
    <w:p w14:paraId="14E01294" w14:textId="0C0A978B" w:rsidR="00AB7322" w:rsidRPr="007B3B99" w:rsidRDefault="00AB7322" w:rsidP="00AB7322">
      <w:pPr>
        <w:pStyle w:val="NormalHanging12a"/>
        <w:ind w:left="1134"/>
      </w:pPr>
      <w:r w:rsidRPr="007B3B99">
        <w:t>4)</w:t>
      </w:r>
      <w:r w:rsidRPr="007B3B99">
        <w:tab/>
        <w:t>Qualsiasi procedimento penale e qualsiasi procedimento ai sensi dell'articolo 18 contro un deputato, qualsiasi arresto e qualsiasi altra restrizione della sua libertà personale devono essere sospesi su richiesta del Bundestag.";</w:t>
      </w:r>
    </w:p>
    <w:p w14:paraId="73356F0F" w14:textId="77777777" w:rsidR="00AB7322" w:rsidRPr="007B3B99" w:rsidRDefault="00AB7322" w:rsidP="00AB7322">
      <w:pPr>
        <w:pStyle w:val="NormalHanging12a"/>
      </w:pPr>
      <w:r w:rsidRPr="007B3B99">
        <w:t>G.</w:t>
      </w:r>
      <w:r w:rsidRPr="007B3B99">
        <w:tab/>
        <w:t xml:space="preserve">considerando che l'immunità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</w:t>
      </w:r>
      <w:r w:rsidRPr="00E90B40">
        <w:t>da esso</w:t>
      </w:r>
      <w:r w:rsidRPr="007B3B99">
        <w:t>;</w:t>
      </w:r>
    </w:p>
    <w:p w14:paraId="63F29499" w14:textId="77777777" w:rsidR="00AB7322" w:rsidRPr="007B3B99" w:rsidRDefault="00AB7322" w:rsidP="00AB7322">
      <w:pPr>
        <w:pStyle w:val="NormalHanging12a"/>
      </w:pPr>
      <w:r w:rsidRPr="007B3B99">
        <w:t>H.</w:t>
      </w:r>
      <w:r w:rsidRPr="007B3B99">
        <w:tab/>
        <w:t>considerando che, a norma dell'articolo 5, paragrafo 2, del regolamento, l'immunità parlamentare non è un privilegio personale del deputato ma una garanzia di indipendenza del Parlamento in quanto istituzione e dei suoi membri;</w:t>
      </w:r>
    </w:p>
    <w:p w14:paraId="6C3B9F0D" w14:textId="6101A76F" w:rsidR="00AB7322" w:rsidRPr="007B3B99" w:rsidRDefault="00AB7322" w:rsidP="00AB7322">
      <w:pPr>
        <w:pStyle w:val="NormalHanging12a"/>
      </w:pPr>
      <w:r w:rsidRPr="007B3B99">
        <w:t>I.</w:t>
      </w:r>
      <w:r w:rsidRPr="007B3B99">
        <w:tab/>
        <w:t xml:space="preserve">considerando che, nella fattispecie, il Parlamento non ha riscontrato alcuna prova di </w:t>
      </w:r>
      <w:r w:rsidRPr="007B3B99">
        <w:rPr>
          <w:i/>
          <w:iCs/>
        </w:rPr>
        <w:t xml:space="preserve">fumus </w:t>
      </w:r>
      <w:proofErr w:type="spellStart"/>
      <w:r w:rsidRPr="007B3B99">
        <w:rPr>
          <w:i/>
          <w:iCs/>
        </w:rPr>
        <w:t>persecutionis</w:t>
      </w:r>
      <w:proofErr w:type="spellEnd"/>
      <w:r w:rsidRPr="007B3B99">
        <w:t xml:space="preserve">, vale a dire elementi di fatto dai quali </w:t>
      </w:r>
      <w:r w:rsidR="00E90B40">
        <w:t>s</w:t>
      </w:r>
      <w:r w:rsidRPr="007B3B99">
        <w:t>i evinca che le azioni giudiziarie in questione s</w:t>
      </w:r>
      <w:r w:rsidR="00E90B40">
        <w:t>iano</w:t>
      </w:r>
      <w:r w:rsidRPr="007B3B99">
        <w:t xml:space="preserve"> state intentate al fine di arrecare pregiudizio all'attività politica del deputato in quanto membro del Parlamento europeo;</w:t>
      </w:r>
    </w:p>
    <w:p w14:paraId="46519E06" w14:textId="77777777" w:rsidR="00AB7322" w:rsidRPr="007B3B99" w:rsidRDefault="00AB7322" w:rsidP="00AB7322">
      <w:pPr>
        <w:pStyle w:val="NormalHanging12a"/>
      </w:pPr>
      <w:r w:rsidRPr="007B3B99">
        <w:t>J.</w:t>
      </w:r>
      <w:r w:rsidRPr="007B3B99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7B3B99">
        <w:rPr>
          <w:vertAlign w:val="superscript"/>
        </w:rPr>
        <w:footnoteReference w:id="2"/>
      </w:r>
      <w:r w:rsidRPr="007B3B99">
        <w:t>;</w:t>
      </w:r>
    </w:p>
    <w:p w14:paraId="44282006" w14:textId="77777777" w:rsidR="00AB7322" w:rsidRPr="007B3B99" w:rsidRDefault="00AB7322" w:rsidP="00AB7322">
      <w:pPr>
        <w:pStyle w:val="NormalHanging12a"/>
      </w:pPr>
      <w:r w:rsidRPr="007B3B99">
        <w:t>1.</w:t>
      </w:r>
      <w:r w:rsidRPr="007B3B99">
        <w:tab/>
        <w:t>decide di revocare l'immunità di Petr </w:t>
      </w:r>
      <w:proofErr w:type="spellStart"/>
      <w:r w:rsidRPr="007B3B99">
        <w:t>Bystron</w:t>
      </w:r>
      <w:proofErr w:type="spellEnd"/>
      <w:r w:rsidRPr="007B3B99">
        <w:t>;</w:t>
      </w:r>
    </w:p>
    <w:p w14:paraId="526169D5" w14:textId="77777777" w:rsidR="007B3B99" w:rsidRPr="007B3B99" w:rsidRDefault="00AB7322" w:rsidP="007B3B99">
      <w:pPr>
        <w:pStyle w:val="NormalHanging12a"/>
      </w:pPr>
      <w:r w:rsidRPr="007B3B99">
        <w:t>2.</w:t>
      </w:r>
      <w:r w:rsidRPr="007B3B99">
        <w:tab/>
        <w:t>incarica la sua Presidente di trasmettere immediatamente la presente decisione e la relazione della sua commissione competente all'autorità competente della Repubblica federale di Germania e a Petr </w:t>
      </w:r>
      <w:proofErr w:type="spellStart"/>
      <w:r w:rsidRPr="007B3B99">
        <w:t>Bystron</w:t>
      </w:r>
      <w:proofErr w:type="spellEnd"/>
      <w:r w:rsidRPr="007B3B99">
        <w:t>.</w:t>
      </w:r>
    </w:p>
    <w:p w14:paraId="7E26008B" w14:textId="77777777" w:rsidR="00E365E1" w:rsidRPr="007B3B99" w:rsidRDefault="00E365E1" w:rsidP="00EE2399"/>
    <w:sectPr w:rsidR="00E365E1" w:rsidRPr="007B3B99" w:rsidSect="007B3B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5C727" w14:textId="77777777" w:rsidR="00EE2399" w:rsidRPr="007B3B99" w:rsidRDefault="00EE2399">
      <w:r w:rsidRPr="007B3B99">
        <w:separator/>
      </w:r>
    </w:p>
  </w:endnote>
  <w:endnote w:type="continuationSeparator" w:id="0">
    <w:p w14:paraId="0067809F" w14:textId="77777777" w:rsidR="00EE2399" w:rsidRPr="007B3B99" w:rsidRDefault="00EE2399">
      <w:r w:rsidRPr="007B3B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FB80" w14:textId="77777777" w:rsidR="00064002" w:rsidRPr="007B3B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25BDA" w14:textId="77777777" w:rsidR="00064002" w:rsidRPr="007B3B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E992" w14:textId="77777777" w:rsidR="00064002" w:rsidRPr="007B3B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BB19E" w14:textId="77777777" w:rsidR="00EE2399" w:rsidRPr="007B3B99" w:rsidRDefault="00EE2399">
      <w:r w:rsidRPr="007B3B99">
        <w:separator/>
      </w:r>
    </w:p>
  </w:footnote>
  <w:footnote w:type="continuationSeparator" w:id="0">
    <w:p w14:paraId="6385E515" w14:textId="77777777" w:rsidR="00EE2399" w:rsidRPr="007B3B99" w:rsidRDefault="00EE2399">
      <w:r w:rsidRPr="007B3B99">
        <w:continuationSeparator/>
      </w:r>
    </w:p>
  </w:footnote>
  <w:footnote w:id="1">
    <w:p w14:paraId="2B0622B6" w14:textId="77777777" w:rsidR="00AB7322" w:rsidRPr="007B3B99" w:rsidRDefault="00AB7322" w:rsidP="007B3B99">
      <w:pPr>
        <w:pStyle w:val="FootnoteText"/>
        <w:ind w:left="567" w:hanging="567"/>
        <w:rPr>
          <w:sz w:val="24"/>
          <w:lang w:val="it-IT"/>
        </w:rPr>
      </w:pPr>
      <w:r w:rsidRPr="007B3B99">
        <w:rPr>
          <w:rStyle w:val="FootnoteReference"/>
          <w:sz w:val="24"/>
          <w:lang w:val="it-IT"/>
        </w:rPr>
        <w:footnoteRef/>
      </w:r>
      <w:r w:rsidR="007B3B99" w:rsidRPr="007B3B99">
        <w:rPr>
          <w:sz w:val="24"/>
          <w:lang w:val="it-IT"/>
        </w:rPr>
        <w:t xml:space="preserve"> </w:t>
      </w:r>
      <w:r w:rsidR="007B3B99" w:rsidRPr="007B3B99">
        <w:rPr>
          <w:sz w:val="24"/>
          <w:lang w:val="it-IT"/>
        </w:rPr>
        <w:tab/>
      </w:r>
      <w:r w:rsidRPr="007B3B99">
        <w:rPr>
          <w:sz w:val="24"/>
          <w:lang w:val="it-IT"/>
        </w:rPr>
        <w:t xml:space="preserve">Sentenza della Corte di giustizia del 21 ottobre 2008, </w:t>
      </w:r>
      <w:r w:rsidRPr="000E722D">
        <w:rPr>
          <w:i/>
          <w:iCs/>
          <w:sz w:val="24"/>
          <w:lang w:val="it-IT"/>
        </w:rPr>
        <w:t>Marra/De Gregorio e Clemente</w:t>
      </w:r>
      <w:r w:rsidRPr="007B3B99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0E722D">
        <w:rPr>
          <w:i/>
          <w:iCs/>
          <w:sz w:val="24"/>
          <w:lang w:val="it-IT"/>
        </w:rPr>
        <w:t>Gollnisch</w:t>
      </w:r>
      <w:proofErr w:type="spellEnd"/>
      <w:r w:rsidRPr="000E722D">
        <w:rPr>
          <w:i/>
          <w:iCs/>
          <w:sz w:val="24"/>
          <w:lang w:val="it-IT"/>
        </w:rPr>
        <w:t>/Parlamento,</w:t>
      </w:r>
      <w:r w:rsidRPr="007B3B99">
        <w:rPr>
          <w:sz w:val="24"/>
          <w:lang w:val="it-IT"/>
        </w:rPr>
        <w:t xml:space="preserve"> T-42/06, ECLI:EU:T:2010:102; sentenza della Corte di giustizia del 6 settembre 2011, </w:t>
      </w:r>
      <w:r w:rsidRPr="000E722D">
        <w:rPr>
          <w:i/>
          <w:iCs/>
          <w:sz w:val="24"/>
          <w:lang w:val="it-IT"/>
        </w:rPr>
        <w:t>Patriciello</w:t>
      </w:r>
      <w:r w:rsidRPr="007B3B99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0E722D">
        <w:rPr>
          <w:i/>
          <w:iCs/>
          <w:sz w:val="24"/>
          <w:lang w:val="it-IT"/>
        </w:rPr>
        <w:t>Gollnisch</w:t>
      </w:r>
      <w:proofErr w:type="spellEnd"/>
      <w:r w:rsidRPr="000E722D">
        <w:rPr>
          <w:i/>
          <w:iCs/>
          <w:sz w:val="24"/>
          <w:lang w:val="it-IT"/>
        </w:rPr>
        <w:t>/Parlamento</w:t>
      </w:r>
      <w:r w:rsidRPr="007B3B99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0E722D">
        <w:rPr>
          <w:i/>
          <w:iCs/>
          <w:sz w:val="24"/>
          <w:lang w:val="it-IT"/>
        </w:rPr>
        <w:t>Junqueras</w:t>
      </w:r>
      <w:proofErr w:type="spellEnd"/>
      <w:r w:rsidRPr="000E722D">
        <w:rPr>
          <w:i/>
          <w:iCs/>
          <w:sz w:val="24"/>
          <w:lang w:val="it-IT"/>
        </w:rPr>
        <w:t xml:space="preserve"> </w:t>
      </w:r>
      <w:proofErr w:type="spellStart"/>
      <w:r w:rsidRPr="000E722D">
        <w:rPr>
          <w:i/>
          <w:iCs/>
          <w:sz w:val="24"/>
          <w:lang w:val="it-IT"/>
        </w:rPr>
        <w:t>Vies</w:t>
      </w:r>
      <w:proofErr w:type="spellEnd"/>
      <w:r w:rsidRPr="007B3B99">
        <w:rPr>
          <w:sz w:val="24"/>
          <w:lang w:val="it-IT"/>
        </w:rPr>
        <w:t xml:space="preserve">, C-502/19, ECLI:EU:C:2019:1115; sentenza del Tribunale del 5 luglio 2023, </w:t>
      </w:r>
      <w:r w:rsidRPr="000E722D">
        <w:rPr>
          <w:i/>
          <w:iCs/>
          <w:sz w:val="24"/>
          <w:lang w:val="it-IT"/>
        </w:rPr>
        <w:t xml:space="preserve">Carles </w:t>
      </w:r>
      <w:proofErr w:type="spellStart"/>
      <w:r w:rsidRPr="000E722D">
        <w:rPr>
          <w:i/>
          <w:iCs/>
          <w:sz w:val="24"/>
          <w:lang w:val="it-IT"/>
        </w:rPr>
        <w:t>Puigdemont</w:t>
      </w:r>
      <w:proofErr w:type="spellEnd"/>
      <w:r w:rsidRPr="000E722D">
        <w:rPr>
          <w:i/>
          <w:iCs/>
          <w:sz w:val="24"/>
          <w:lang w:val="it-IT"/>
        </w:rPr>
        <w:t xml:space="preserve"> i </w:t>
      </w:r>
      <w:proofErr w:type="spellStart"/>
      <w:r w:rsidRPr="000E722D">
        <w:rPr>
          <w:i/>
          <w:iCs/>
          <w:sz w:val="24"/>
          <w:lang w:val="it-IT"/>
        </w:rPr>
        <w:t>Casamajó</w:t>
      </w:r>
      <w:proofErr w:type="spellEnd"/>
      <w:r w:rsidRPr="000E722D">
        <w:rPr>
          <w:i/>
          <w:iCs/>
          <w:sz w:val="24"/>
          <w:lang w:val="it-IT"/>
        </w:rPr>
        <w:t xml:space="preserve"> e a./Parlamento europeo</w:t>
      </w:r>
      <w:r w:rsidRPr="007B3B99">
        <w:rPr>
          <w:sz w:val="24"/>
          <w:lang w:val="it-IT"/>
        </w:rPr>
        <w:t>, T-272/21, ECLI:EU:T:2023:373.</w:t>
      </w:r>
    </w:p>
  </w:footnote>
  <w:footnote w:id="2">
    <w:p w14:paraId="256E6893" w14:textId="77777777" w:rsidR="00AB7322" w:rsidRPr="007B3B99" w:rsidRDefault="00AB7322" w:rsidP="007B3B99">
      <w:pPr>
        <w:pStyle w:val="FootnoteText"/>
        <w:ind w:left="567" w:hanging="567"/>
        <w:rPr>
          <w:sz w:val="24"/>
          <w:lang w:val="it-IT"/>
        </w:rPr>
      </w:pPr>
      <w:r w:rsidRPr="007B3B99">
        <w:rPr>
          <w:rStyle w:val="FootnoteReference"/>
          <w:sz w:val="24"/>
          <w:lang w:val="it-IT"/>
        </w:rPr>
        <w:footnoteRef/>
      </w:r>
      <w:r w:rsidR="007B3B99" w:rsidRPr="007B3B99">
        <w:rPr>
          <w:sz w:val="24"/>
          <w:lang w:val="it-IT"/>
        </w:rPr>
        <w:t xml:space="preserve"> </w:t>
      </w:r>
      <w:r w:rsidR="007B3B99" w:rsidRPr="007B3B99">
        <w:rPr>
          <w:sz w:val="24"/>
          <w:lang w:val="it-IT"/>
        </w:rPr>
        <w:tab/>
      </w:r>
      <w:r w:rsidRPr="007B3B99">
        <w:rPr>
          <w:sz w:val="24"/>
          <w:lang w:val="it-IT"/>
        </w:rPr>
        <w:t xml:space="preserve">Sentenza del Tribunale del 30 aprile 2019, </w:t>
      </w:r>
      <w:proofErr w:type="spellStart"/>
      <w:r w:rsidRPr="000E722D">
        <w:rPr>
          <w:i/>
          <w:iCs/>
          <w:sz w:val="24"/>
          <w:lang w:val="it-IT"/>
        </w:rPr>
        <w:t>Briois</w:t>
      </w:r>
      <w:proofErr w:type="spellEnd"/>
      <w:r w:rsidRPr="000E722D">
        <w:rPr>
          <w:i/>
          <w:iCs/>
          <w:sz w:val="24"/>
          <w:lang w:val="it-IT"/>
        </w:rPr>
        <w:t>/Parlamento</w:t>
      </w:r>
      <w:r w:rsidRPr="007B3B99">
        <w:rPr>
          <w:sz w:val="24"/>
          <w:lang w:val="it-IT"/>
        </w:rPr>
        <w:t>, T-214/18, ECLI:</w:t>
      </w:r>
      <w:proofErr w:type="gramStart"/>
      <w:r w:rsidRPr="007B3B99">
        <w:rPr>
          <w:sz w:val="24"/>
          <w:lang w:val="it-IT"/>
        </w:rPr>
        <w:t>EU:T</w:t>
      </w:r>
      <w:proofErr w:type="gramEnd"/>
      <w:r w:rsidRPr="007B3B99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A51B" w14:textId="77777777" w:rsidR="00064002" w:rsidRPr="007B3B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9845" w14:textId="77777777" w:rsidR="00064002" w:rsidRPr="007B3B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A275" w14:textId="77777777" w:rsidR="00064002" w:rsidRPr="007B3B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4440863">
    <w:abstractNumId w:val="9"/>
  </w:num>
  <w:num w:numId="2" w16cid:durableId="1049765356">
    <w:abstractNumId w:val="9"/>
  </w:num>
  <w:num w:numId="3" w16cid:durableId="647563182">
    <w:abstractNumId w:val="7"/>
  </w:num>
  <w:num w:numId="4" w16cid:durableId="858811259">
    <w:abstractNumId w:val="7"/>
  </w:num>
  <w:num w:numId="5" w16cid:durableId="914431620">
    <w:abstractNumId w:val="6"/>
  </w:num>
  <w:num w:numId="6" w16cid:durableId="509374603">
    <w:abstractNumId w:val="6"/>
  </w:num>
  <w:num w:numId="7" w16cid:durableId="93864827">
    <w:abstractNumId w:val="5"/>
  </w:num>
  <w:num w:numId="8" w16cid:durableId="1939756033">
    <w:abstractNumId w:val="5"/>
  </w:num>
  <w:num w:numId="9" w16cid:durableId="1107850366">
    <w:abstractNumId w:val="4"/>
  </w:num>
  <w:num w:numId="10" w16cid:durableId="1468477476">
    <w:abstractNumId w:val="4"/>
  </w:num>
  <w:num w:numId="11" w16cid:durableId="1918439924">
    <w:abstractNumId w:val="8"/>
  </w:num>
  <w:num w:numId="12" w16cid:durableId="1575236805">
    <w:abstractNumId w:val="8"/>
  </w:num>
  <w:num w:numId="13" w16cid:durableId="956595295">
    <w:abstractNumId w:val="3"/>
  </w:num>
  <w:num w:numId="14" w16cid:durableId="1149054251">
    <w:abstractNumId w:val="3"/>
  </w:num>
  <w:num w:numId="15" w16cid:durableId="166024060">
    <w:abstractNumId w:val="2"/>
  </w:num>
  <w:num w:numId="16" w16cid:durableId="379063173">
    <w:abstractNumId w:val="2"/>
  </w:num>
  <w:num w:numId="17" w16cid:durableId="102462771">
    <w:abstractNumId w:val="1"/>
  </w:num>
  <w:num w:numId="18" w16cid:durableId="1159930973">
    <w:abstractNumId w:val="1"/>
  </w:num>
  <w:num w:numId="19" w16cid:durableId="1996450721">
    <w:abstractNumId w:val="0"/>
  </w:num>
  <w:num w:numId="20" w16cid:durableId="1799834169">
    <w:abstractNumId w:val="0"/>
  </w:num>
  <w:num w:numId="21" w16cid:durableId="60294102">
    <w:abstractNumId w:val="9"/>
  </w:num>
  <w:num w:numId="22" w16cid:durableId="515772290">
    <w:abstractNumId w:val="7"/>
  </w:num>
  <w:num w:numId="23" w16cid:durableId="51659430">
    <w:abstractNumId w:val="6"/>
  </w:num>
  <w:num w:numId="24" w16cid:durableId="553586749">
    <w:abstractNumId w:val="5"/>
  </w:num>
  <w:num w:numId="25" w16cid:durableId="151340693">
    <w:abstractNumId w:val="4"/>
  </w:num>
  <w:num w:numId="26" w16cid:durableId="1461803411">
    <w:abstractNumId w:val="8"/>
  </w:num>
  <w:num w:numId="27" w16cid:durableId="1629775790">
    <w:abstractNumId w:val="3"/>
  </w:num>
  <w:num w:numId="28" w16cid:durableId="1411658555">
    <w:abstractNumId w:val="2"/>
  </w:num>
  <w:num w:numId="29" w16cid:durableId="1276862854">
    <w:abstractNumId w:val="1"/>
  </w:num>
  <w:num w:numId="30" w16cid:durableId="879125427">
    <w:abstractNumId w:val="0"/>
  </w:num>
  <w:num w:numId="31" w16cid:durableId="639697029">
    <w:abstractNumId w:val="9"/>
  </w:num>
  <w:num w:numId="32" w16cid:durableId="631013259">
    <w:abstractNumId w:val="7"/>
  </w:num>
  <w:num w:numId="33" w16cid:durableId="416901404">
    <w:abstractNumId w:val="6"/>
  </w:num>
  <w:num w:numId="34" w16cid:durableId="1510749710">
    <w:abstractNumId w:val="5"/>
  </w:num>
  <w:num w:numId="35" w16cid:durableId="734086889">
    <w:abstractNumId w:val="4"/>
  </w:num>
  <w:num w:numId="36" w16cid:durableId="87502543">
    <w:abstractNumId w:val="8"/>
  </w:num>
  <w:num w:numId="37" w16cid:durableId="1850637403">
    <w:abstractNumId w:val="3"/>
  </w:num>
  <w:num w:numId="38" w16cid:durableId="1081559914">
    <w:abstractNumId w:val="2"/>
  </w:num>
  <w:num w:numId="39" w16cid:durableId="770514297">
    <w:abstractNumId w:val="1"/>
  </w:num>
  <w:num w:numId="40" w16cid:durableId="314647267">
    <w:abstractNumId w:val="0"/>
  </w:num>
  <w:num w:numId="41" w16cid:durableId="249854479">
    <w:abstractNumId w:val="10"/>
  </w:num>
  <w:num w:numId="42" w16cid:durableId="390277140">
    <w:abstractNumId w:val="10"/>
  </w:num>
  <w:num w:numId="43" w16cid:durableId="220868654">
    <w:abstractNumId w:val="10"/>
  </w:num>
  <w:num w:numId="44" w16cid:durableId="301345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IT"/>
    <w:docVar w:name="dvnumam" w:val="0"/>
    <w:docVar w:name="dvpe" w:val="781.254"/>
    <w:docVar w:name="dvrapporteur" w:val="Relatore: "/>
    <w:docVar w:name="dvtitre" w:val="Decisione del Parlamento europeo del 10 febbraio 2026 sulla richiesta di revoca dell'immunità di Petr Bystron(2025/2077(IMM))"/>
  </w:docVars>
  <w:rsids>
    <w:rsidRoot w:val="00EE2399"/>
    <w:rsid w:val="00002272"/>
    <w:rsid w:val="00050D01"/>
    <w:rsid w:val="00064002"/>
    <w:rsid w:val="000677B9"/>
    <w:rsid w:val="000831BA"/>
    <w:rsid w:val="000A42CC"/>
    <w:rsid w:val="000E722D"/>
    <w:rsid w:val="000E7DD9"/>
    <w:rsid w:val="0010095E"/>
    <w:rsid w:val="00125B37"/>
    <w:rsid w:val="00187494"/>
    <w:rsid w:val="001F32AE"/>
    <w:rsid w:val="00234D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440"/>
    <w:rsid w:val="007B3B9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499"/>
    <w:rsid w:val="00930C23"/>
    <w:rsid w:val="0093193B"/>
    <w:rsid w:val="009509D8"/>
    <w:rsid w:val="00950B64"/>
    <w:rsid w:val="00981893"/>
    <w:rsid w:val="009E105D"/>
    <w:rsid w:val="00A1687D"/>
    <w:rsid w:val="00A43E52"/>
    <w:rsid w:val="00A4678D"/>
    <w:rsid w:val="00A778C7"/>
    <w:rsid w:val="00AB441E"/>
    <w:rsid w:val="00AB6293"/>
    <w:rsid w:val="00AB7322"/>
    <w:rsid w:val="00AE0928"/>
    <w:rsid w:val="00AF3B82"/>
    <w:rsid w:val="00B12E95"/>
    <w:rsid w:val="00B22876"/>
    <w:rsid w:val="00B558F0"/>
    <w:rsid w:val="00BD36D3"/>
    <w:rsid w:val="00BD48FE"/>
    <w:rsid w:val="00BD7BD8"/>
    <w:rsid w:val="00BE6ADC"/>
    <w:rsid w:val="00C05BFE"/>
    <w:rsid w:val="00C23CD4"/>
    <w:rsid w:val="00C61C0C"/>
    <w:rsid w:val="00C941CB"/>
    <w:rsid w:val="00CC2357"/>
    <w:rsid w:val="00CE1571"/>
    <w:rsid w:val="00CF071A"/>
    <w:rsid w:val="00D058B8"/>
    <w:rsid w:val="00D56C11"/>
    <w:rsid w:val="00D834A0"/>
    <w:rsid w:val="00D872DF"/>
    <w:rsid w:val="00D91E21"/>
    <w:rsid w:val="00DA7FCD"/>
    <w:rsid w:val="00E23B31"/>
    <w:rsid w:val="00E365E1"/>
    <w:rsid w:val="00E820A4"/>
    <w:rsid w:val="00E90B40"/>
    <w:rsid w:val="00EB006A"/>
    <w:rsid w:val="00EB4772"/>
    <w:rsid w:val="00ED169E"/>
    <w:rsid w:val="00ED4235"/>
    <w:rsid w:val="00EE239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43609"/>
  <w15:chartTrackingRefBased/>
  <w15:docId w15:val="{05D823DA-3AFC-41EC-B748-339E3129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B7322"/>
    <w:pPr>
      <w:spacing w:after="240"/>
      <w:ind w:left="567" w:hanging="567"/>
    </w:pPr>
  </w:style>
  <w:style w:type="paragraph" w:customStyle="1" w:styleId="EPComma">
    <w:name w:val="EPComma"/>
    <w:basedOn w:val="Normal"/>
    <w:rsid w:val="00AB7322"/>
    <w:pPr>
      <w:spacing w:before="480" w:after="240"/>
    </w:pPr>
  </w:style>
  <w:style w:type="paragraph" w:styleId="Revision">
    <w:name w:val="Revision"/>
    <w:hidden/>
    <w:uiPriority w:val="99"/>
    <w:semiHidden/>
    <w:rsid w:val="008C7499"/>
    <w:rPr>
      <w:sz w:val="24"/>
      <w:lang w:val="it-IT"/>
    </w:rPr>
  </w:style>
  <w:style w:type="character" w:styleId="CommentReference">
    <w:name w:val="annotation reference"/>
    <w:basedOn w:val="DefaultParagraphFont"/>
    <w:rsid w:val="00234D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4D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4D8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234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4D8B"/>
    <w:rPr>
      <w:b/>
      <w:bCs/>
      <w:lang w:val="it-IT"/>
    </w:rPr>
  </w:style>
  <w:style w:type="character" w:styleId="Hyperlink">
    <w:name w:val="Hyperlink"/>
    <w:basedOn w:val="DefaultParagraphFont"/>
    <w:rsid w:val="00234D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D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234D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939</Words>
  <Characters>5661</Characters>
  <Application>Microsoft Office Word</Application>
  <DocSecurity>0</DocSecurity>
  <Lines>202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CL_relfinal</dc:creator>
  <cp:keywords/>
  <cp:lastModifiedBy>CL_relec</cp:lastModifiedBy>
  <cp:revision>2</cp:revision>
  <cp:lastPrinted>2004-11-19T15:42:00Z</cp:lastPrinted>
  <dcterms:created xsi:type="dcterms:W3CDTF">2026-02-10T13:03:00Z</dcterms:created>
  <dcterms:modified xsi:type="dcterms:W3CDTF">2026-02-10T13:03:00Z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