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6212" w14:paraId="71ADE75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9F0880" w14:textId="77777777" w:rsidR="00751A4A" w:rsidRPr="00806212" w:rsidRDefault="00D74D6A" w:rsidP="0010095E">
            <w:pPr>
              <w:pStyle w:val="EPName"/>
            </w:pPr>
            <w:r w:rsidRPr="00806212">
              <w:t>Parlament Ewropew</w:t>
            </w:r>
          </w:p>
          <w:p w14:paraId="0515CD47" w14:textId="77777777" w:rsidR="00751A4A" w:rsidRPr="0080621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6212">
              <w:t>2024</w:t>
            </w:r>
            <w:r w:rsidR="00817416" w:rsidRPr="00806212">
              <w:t>-202</w:t>
            </w:r>
            <w:r w:rsidRPr="00806212">
              <w:t>9</w:t>
            </w:r>
          </w:p>
        </w:tc>
        <w:tc>
          <w:tcPr>
            <w:tcW w:w="2268" w:type="dxa"/>
            <w:shd w:val="clear" w:color="auto" w:fill="auto"/>
          </w:tcPr>
          <w:p w14:paraId="3070C7CE" w14:textId="77777777" w:rsidR="00751A4A" w:rsidRPr="00806212" w:rsidRDefault="00187494" w:rsidP="0010095E">
            <w:pPr>
              <w:pStyle w:val="EPLogo"/>
            </w:pPr>
            <w:r w:rsidRPr="00806212">
              <w:rPr>
                <w:noProof/>
                <w:lang w:eastAsia="ja-JP"/>
              </w:rPr>
              <w:drawing>
                <wp:inline distT="0" distB="0" distL="0" distR="0" wp14:anchorId="7FD48EE9" wp14:editId="187B819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914668" w14:textId="77777777" w:rsidR="00D058B8" w:rsidRPr="00806212" w:rsidRDefault="00D058B8" w:rsidP="004C5D52">
      <w:pPr>
        <w:pStyle w:val="LineTop"/>
      </w:pPr>
    </w:p>
    <w:p w14:paraId="5B46CE09" w14:textId="77777777" w:rsidR="00680577" w:rsidRPr="00806212" w:rsidRDefault="00D74D6A" w:rsidP="00680577">
      <w:pPr>
        <w:pStyle w:val="EPBodyTA1"/>
      </w:pPr>
      <w:r w:rsidRPr="00806212">
        <w:t>TESTI ADOTTATI</w:t>
      </w:r>
    </w:p>
    <w:p w14:paraId="465B0955" w14:textId="77777777" w:rsidR="00D058B8" w:rsidRPr="00806212" w:rsidRDefault="00D058B8" w:rsidP="00D058B8">
      <w:pPr>
        <w:pStyle w:val="LineBottom"/>
      </w:pPr>
    </w:p>
    <w:p w14:paraId="2D81E875" w14:textId="390247E1" w:rsidR="00D74D6A" w:rsidRPr="00806212" w:rsidRDefault="00D74D6A" w:rsidP="00D74D6A">
      <w:pPr>
        <w:pStyle w:val="ATHeading1"/>
      </w:pPr>
      <w:bookmarkStart w:id="0" w:name="TANumber"/>
      <w:r w:rsidRPr="00806212">
        <w:t>P10_TA(2026)00</w:t>
      </w:r>
      <w:r w:rsidR="00610DF5">
        <w:t>27</w:t>
      </w:r>
      <w:bookmarkEnd w:id="0"/>
    </w:p>
    <w:p w14:paraId="6BBF9D87" w14:textId="514D0B99" w:rsidR="00D74D6A" w:rsidRPr="00A478A8" w:rsidRDefault="00A478A8" w:rsidP="00D74D6A">
      <w:pPr>
        <w:pStyle w:val="ATHeading2"/>
      </w:pPr>
      <w:r w:rsidRPr="00A478A8">
        <w:t>Talba għat-tneħħija tal-immunità ta’ Petr Bystron</w:t>
      </w:r>
    </w:p>
    <w:p w14:paraId="310B39C2" w14:textId="77777777" w:rsidR="00D74D6A" w:rsidRPr="00A478A8" w:rsidRDefault="00D74D6A" w:rsidP="00D74D6A">
      <w:pPr>
        <w:rPr>
          <w:i/>
          <w:vanish/>
        </w:rPr>
      </w:pPr>
      <w:r w:rsidRPr="00A478A8">
        <w:rPr>
          <w:i/>
        </w:rPr>
        <w:fldChar w:fldCharType="begin"/>
      </w:r>
      <w:r w:rsidRPr="00A478A8">
        <w:rPr>
          <w:i/>
        </w:rPr>
        <w:instrText xml:space="preserve"> TC"(</w:instrText>
      </w:r>
      <w:bookmarkStart w:id="1" w:name="DocNumber"/>
      <w:r w:rsidRPr="00A478A8">
        <w:rPr>
          <w:i/>
        </w:rPr>
        <w:instrText>A10-0009/2026</w:instrText>
      </w:r>
      <w:bookmarkEnd w:id="1"/>
      <w:r w:rsidRPr="00A478A8">
        <w:rPr>
          <w:i/>
        </w:rPr>
        <w:instrText xml:space="preserve"> - Rapporteur: Adrián Vázquez Lázara)"\l3 \n&gt; \* MERGEFORMAT </w:instrText>
      </w:r>
      <w:r w:rsidRPr="00A478A8">
        <w:rPr>
          <w:i/>
        </w:rPr>
        <w:fldChar w:fldCharType="end"/>
      </w:r>
    </w:p>
    <w:p w14:paraId="16B388BE" w14:textId="77777777" w:rsidR="00D74D6A" w:rsidRPr="00A478A8" w:rsidRDefault="00D74D6A" w:rsidP="00D74D6A">
      <w:pPr>
        <w:rPr>
          <w:vanish/>
        </w:rPr>
      </w:pPr>
      <w:bookmarkStart w:id="2" w:name="Commission"/>
      <w:r w:rsidRPr="00A478A8">
        <w:rPr>
          <w:vanish/>
        </w:rPr>
        <w:t>Kumitat għall-Affarijiet Legali</w:t>
      </w:r>
      <w:bookmarkEnd w:id="2"/>
    </w:p>
    <w:p w14:paraId="00919C85" w14:textId="77777777" w:rsidR="00D74D6A" w:rsidRPr="00A478A8" w:rsidRDefault="00D74D6A" w:rsidP="00D74D6A">
      <w:pPr>
        <w:rPr>
          <w:vanish/>
        </w:rPr>
      </w:pPr>
      <w:bookmarkStart w:id="3" w:name="PE"/>
      <w:r w:rsidRPr="00A478A8">
        <w:rPr>
          <w:vanish/>
        </w:rPr>
        <w:t>PE781.254</w:t>
      </w:r>
      <w:bookmarkEnd w:id="3"/>
    </w:p>
    <w:p w14:paraId="6D2E5655" w14:textId="033B6785" w:rsidR="00D74D6A" w:rsidRPr="00806212" w:rsidRDefault="00A478A8" w:rsidP="00D74D6A">
      <w:pPr>
        <w:pStyle w:val="ATHeading3"/>
      </w:pPr>
      <w:bookmarkStart w:id="4" w:name="Sujet"/>
      <w:r>
        <w:t>Deċiż</w:t>
      </w:r>
      <w:r w:rsidR="00D74D6A" w:rsidRPr="00A478A8">
        <w:t>joni tal</w:t>
      </w:r>
      <w:r w:rsidR="00D74D6A" w:rsidRPr="00806212">
        <w:t xml:space="preserve">-Parlament Ewropew </w:t>
      </w:r>
      <w:r>
        <w:t>tal-10 ta’ Frar</w:t>
      </w:r>
      <w:r w:rsidR="00D74D6A" w:rsidRPr="00806212">
        <w:t xml:space="preserve"> 2026 dwar it-talba għat-tneħħija tal-immunità ta’ Petr Bystron</w:t>
      </w:r>
      <w:bookmarkEnd w:id="4"/>
      <w:r w:rsidR="00D74D6A" w:rsidRPr="00806212">
        <w:t xml:space="preserve"> </w:t>
      </w:r>
      <w:bookmarkStart w:id="5" w:name="References"/>
      <w:r w:rsidR="00D74D6A" w:rsidRPr="00806212">
        <w:t>(2025/2077(IMM))</w:t>
      </w:r>
      <w:bookmarkEnd w:id="5"/>
    </w:p>
    <w:p w14:paraId="796FF86A" w14:textId="77777777" w:rsidR="00A722FC" w:rsidRPr="00806212" w:rsidRDefault="00A722FC" w:rsidP="00A722FC">
      <w:pPr>
        <w:pStyle w:val="EPComma"/>
      </w:pPr>
      <w:bookmarkStart w:id="6" w:name="TextBodyBegin"/>
      <w:bookmarkEnd w:id="6"/>
      <w:r w:rsidRPr="00806212">
        <w:rPr>
          <w:i/>
        </w:rPr>
        <w:t>Il-Parlament Ewropew</w:t>
      </w:r>
      <w:r w:rsidRPr="00806212">
        <w:t>,</w:t>
      </w:r>
    </w:p>
    <w:p w14:paraId="5799E953" w14:textId="77777777" w:rsidR="00A722FC" w:rsidRPr="00806212" w:rsidRDefault="00A722FC" w:rsidP="00A722FC">
      <w:pPr>
        <w:pStyle w:val="NormalHanging12a"/>
      </w:pPr>
      <w:r w:rsidRPr="00806212">
        <w:t>–</w:t>
      </w:r>
      <w:r w:rsidRPr="00806212">
        <w:tab/>
        <w:t>wara li kkunsidra t-talba għat-tneħħija tal-immunità ta’ Petr Bystron, imressqa b’ittra tal-24 ta’ Ottubru 2024 mill-Ministeru Federali Ġermaniż għall-Ġustizzja, li għaddiet talba mill-Kap Prosekutur Pubbliku ta’ Munich b’rabta mal-proċedimenti kriminali mressqa kontra Petr Bystron, u mħabbra fis-seduta plenarja fit-3 ta’ April 2025,</w:t>
      </w:r>
    </w:p>
    <w:p w14:paraId="469907DE" w14:textId="77777777" w:rsidR="00A722FC" w:rsidRPr="00806212" w:rsidRDefault="00A722FC" w:rsidP="00A722FC">
      <w:pPr>
        <w:pStyle w:val="NormalHanging12a"/>
      </w:pPr>
      <w:r w:rsidRPr="00806212">
        <w:t>–</w:t>
      </w:r>
      <w:r w:rsidRPr="00806212">
        <w:tab/>
        <w:t>wara li kkunsidra l-fatt li Petr Bystron irrinunzja għad-dritt tiegħu li jinstema’ skont l-Artikolu 9(6) tar-Regoli ta’ Proċedura tiegħu,</w:t>
      </w:r>
    </w:p>
    <w:p w14:paraId="77CFAD02" w14:textId="77777777" w:rsidR="00A722FC" w:rsidRPr="00806212" w:rsidRDefault="00A722FC" w:rsidP="00A722FC">
      <w:pPr>
        <w:pStyle w:val="NormalHanging12a"/>
      </w:pPr>
      <w:r w:rsidRPr="00806212">
        <w:t>–</w:t>
      </w:r>
      <w:r w:rsidRPr="00806212">
        <w:tab/>
        <w:t>wara li kkunsidra l-Artikoli 8 u 9 tal-Protokoll Nru 7 dwar il-Privileġġi u l-Immunitajiet tal-Unjoni Ewropea kif ukoll l-Artikolu 6(2) tal-Att tal-20 ta’ Settembru 1976 dwar l-elezzjoni tal-Membri tal-Parlament Ewropew b’vot universali dirett,</w:t>
      </w:r>
    </w:p>
    <w:p w14:paraId="752D0C00" w14:textId="77777777" w:rsidR="00A722FC" w:rsidRPr="00806212" w:rsidRDefault="00A722FC" w:rsidP="00A722FC">
      <w:pPr>
        <w:pStyle w:val="NormalHanging12a"/>
      </w:pPr>
      <w:r w:rsidRPr="00806212">
        <w:t>–</w:t>
      </w:r>
      <w:r w:rsidRPr="00806212">
        <w:tab/>
        <w:t>wara li kkunsidra s-sentenzi mogħtija mill-Qorti tal-Ġustizzja tal-Unjoni Ewropea fil-21 ta’ Ottubru 2008, fid-19 ta’ Marzu 2010, fis-6 ta’ Settembru 2011, fis-17 ta’ Jannar 2013, fid-19 ta’ Diċembru 2019 u fil-5 ta’ Lulju 2023</w:t>
      </w:r>
      <w:r w:rsidRPr="00806212">
        <w:rPr>
          <w:vertAlign w:val="superscript"/>
        </w:rPr>
        <w:footnoteReference w:id="1"/>
      </w:r>
      <w:r w:rsidRPr="00806212">
        <w:t>,</w:t>
      </w:r>
    </w:p>
    <w:p w14:paraId="5C3259F4" w14:textId="77777777" w:rsidR="00A722FC" w:rsidRPr="00806212" w:rsidRDefault="00A722FC" w:rsidP="00A722FC">
      <w:pPr>
        <w:pStyle w:val="NormalHanging12a"/>
      </w:pPr>
      <w:r w:rsidRPr="00806212">
        <w:t>–</w:t>
      </w:r>
      <w:r w:rsidRPr="00806212">
        <w:tab/>
        <w:t>wara li kkunsidra l-Artikolu 46 tal-Liġi Bażika tar-Repubblika Federali tal-Ġermanja,</w:t>
      </w:r>
    </w:p>
    <w:p w14:paraId="12B1CC85" w14:textId="77777777" w:rsidR="00A722FC" w:rsidRPr="00806212" w:rsidRDefault="00A722FC" w:rsidP="00A722FC">
      <w:pPr>
        <w:pStyle w:val="NormalHanging12a"/>
      </w:pPr>
      <w:r w:rsidRPr="00806212">
        <w:t>–</w:t>
      </w:r>
      <w:r w:rsidRPr="00806212">
        <w:tab/>
        <w:t xml:space="preserve">wara li kkunsidra l-Artikolu 5(2), l-Artikolu 6(1) u l-Artikolu 9 tar-Regoli ta’ Proċedura </w:t>
      </w:r>
      <w:r w:rsidRPr="00806212">
        <w:lastRenderedPageBreak/>
        <w:t>tiegħu,</w:t>
      </w:r>
    </w:p>
    <w:p w14:paraId="49FFCCDA" w14:textId="77777777" w:rsidR="00A722FC" w:rsidRPr="00806212" w:rsidRDefault="00A722FC" w:rsidP="00A722FC">
      <w:pPr>
        <w:pStyle w:val="NormalHanging12a"/>
      </w:pPr>
      <w:r w:rsidRPr="00806212">
        <w:t>–</w:t>
      </w:r>
      <w:r w:rsidRPr="00806212">
        <w:tab/>
        <w:t>wara li kkunsidra r-rapport tal-Kumitat għall-Affarijiet Legali (A10-0009/2026),</w:t>
      </w:r>
    </w:p>
    <w:p w14:paraId="7562AC6C" w14:textId="4F58BB00" w:rsidR="00A722FC" w:rsidRPr="00806212" w:rsidRDefault="00A722FC" w:rsidP="00A722FC">
      <w:pPr>
        <w:pStyle w:val="NormalHanging12a"/>
      </w:pPr>
      <w:r w:rsidRPr="00806212">
        <w:t>A.</w:t>
      </w:r>
      <w:r w:rsidRPr="00806212">
        <w:tab/>
        <w:t>billi l-Ministeru Federali Ġermaniż għall-Ġustizzja bagħat talba mill-Kap Prosekutur Pubbliku fi Munich għat-tneħħija tal-immunità ta’ Petr Bystron, Membru tal-Parlament Ewropew</w:t>
      </w:r>
      <w:r w:rsidR="00A478A8">
        <w:t xml:space="preserve"> elett fil-Ġermanja</w:t>
      </w:r>
      <w:r w:rsidRPr="00806212">
        <w:t>, b’rabta ma’ allegati atti li jistgħu jammontaw għal frodi skont it-Taqsima 263(1) tal-Kodiċi Kriminali Ġermaniż, rigward allegata dikjarazzjoni falza b’rabta mal-iżborż ta’ allowance b’rata fissa;</w:t>
      </w:r>
    </w:p>
    <w:p w14:paraId="657D9448" w14:textId="0F086666" w:rsidR="00A722FC" w:rsidRPr="00806212" w:rsidRDefault="00A722FC" w:rsidP="00A722FC">
      <w:pPr>
        <w:pStyle w:val="NormalHanging12a"/>
      </w:pPr>
      <w:r w:rsidRPr="00806212">
        <w:t>B.</w:t>
      </w:r>
      <w:r w:rsidRPr="00806212">
        <w:tab/>
        <w:t>billi, skont it-talba, Petr Bystron kien membru tal-Bundestag Ġermaniż mill-2017 sa Lulju 2024; billi fil-kapaċità tiegħu bħala membru tal-Bundestag Ġermaniż, huwa kien intitolat, skont it-Taqsima 12(3) tal-Att dwar il-Membri tal-Bundestag (AbgG), għal allowance b’rata fissa li tkopri, fost l-oħrajn, l-impjieg ta’ persunal; billi, fl-10 ta’ Novembru 2021, Petr Bystron iffirma kuntratt ta’ impjieg biex jimpjega membru tal-persunal bħala “uffiċjal klerikali/tajpista” fl-uffiċċju tal-kostitwenza tiegħu fi Munich; billi huwa allegat li bis-sottomissjoni tal-kuntratt ta’ impjieg lill-amministrazzjoni tal-Bundestag, Petr Bystron iddikjara espressament li da</w:t>
      </w:r>
      <w:r w:rsidR="00A478A8">
        <w:t>k</w:t>
      </w:r>
      <w:r w:rsidRPr="00806212">
        <w:t xml:space="preserve"> il-membru tal-persunal se jkun qed jaħdem bħala uffiċjal klerikali/tajpista fl-uffiċċju tal-kostitwenza tiegħu; billi t-talba tindika li, fil-fatt, dak il-membru tal-persunal ma ħadimx bħala uffiċjal klerikali/tajpista; billi huwa allegat li minħabba l-informazzjoni żbaljata fil-kuntratt ta’ impjieg, l-amministrazzjoni tal-Bundestag assumiet, b’mod żbaljat, li l-kundizzjonijiet skont it-Taqsima 12(3) tal-AbgG għall-iżborż tal-allowance b’rata fissa kienu ġew issodisfati u għalhekk tat istruzzjonijiet biex il-pagamenti tas-salarju jsiru lill-membru tal-persunal (madwar EUR 14 850 b’kollox); billi, skont it-talba, Petr Bystron kien jaf b’dawk iċ-ċirkostanzi u għalhekk huwa suspettat li intenzjonalment għamel dikjarazzjoni falza;</w:t>
      </w:r>
    </w:p>
    <w:p w14:paraId="1DAE8179" w14:textId="77777777" w:rsidR="00A722FC" w:rsidRPr="00806212" w:rsidRDefault="00A722FC" w:rsidP="00A722FC">
      <w:pPr>
        <w:pStyle w:val="NormalHanging12a"/>
      </w:pPr>
      <w:r w:rsidRPr="00806212">
        <w:t>C.</w:t>
      </w:r>
      <w:r w:rsidRPr="00806212">
        <w:tab/>
        <w:t>billi Petr Bystron ġie elett fil-Parlament Ewropew fl-elezzjonijiet Ewropej ta’ Ġunju 2024 u ma kienx Membru tal-Parlament Ewropew fiż-żmien meta twettaq l-allegat reat;</w:t>
      </w:r>
    </w:p>
    <w:p w14:paraId="4AA9C756" w14:textId="77777777" w:rsidR="00A722FC" w:rsidRPr="00806212" w:rsidRDefault="00A722FC" w:rsidP="00A722FC">
      <w:pPr>
        <w:pStyle w:val="NormalHanging12a"/>
      </w:pPr>
      <w:r w:rsidRPr="00806212">
        <w:t>D.</w:t>
      </w:r>
      <w:r w:rsidRPr="00806212">
        <w:tab/>
        <w:t>billi l-allegat reat u t-talba sussegwenti għat-tneħħija tal-immunità ta’ Petr Bystron ma jikkostitwux u mhumiex relatati ma’ opinjoni espressa jew ma’ vot mitfugħ minnu fil-qadi ta’ dmirijietu skont it-tifsira tal-Artikolu 8 tal-Protokoll Nru 7 dwar il-Privileġġi u l-Immunitajiet tal-Unjoni Ewropea;</w:t>
      </w:r>
    </w:p>
    <w:p w14:paraId="6E5119E9" w14:textId="6EE573E3" w:rsidR="00A722FC" w:rsidRPr="00806212" w:rsidRDefault="00A722FC" w:rsidP="00A722FC">
      <w:pPr>
        <w:pStyle w:val="NormalHanging12a"/>
      </w:pPr>
      <w:r w:rsidRPr="00806212">
        <w:t>E.</w:t>
      </w:r>
      <w:r w:rsidRPr="00806212">
        <w:tab/>
        <w:t xml:space="preserve">billi l-Artikolu 9, l-ewwel paragrafu, il-punt (a), tal-Protokoll Nru 7 dwar il-Privileġġi u l-Immunitajiet tal-Unjoni Ewropea jipprevedi li, waqt is-sessjonijiet tal-Parlament Ewropew, il-Membri tal-Parlament Ewropew għandhom igawdu, fit-territorju tal-Istat tagħhom stess, l-immunitajiet mogħtija lil membri tal-parlament </w:t>
      </w:r>
      <w:r w:rsidR="00A478A8">
        <w:t xml:space="preserve">tal-Istat Membru </w:t>
      </w:r>
      <w:r w:rsidRPr="00806212">
        <w:t>tagħhom;</w:t>
      </w:r>
    </w:p>
    <w:p w14:paraId="385C0086" w14:textId="77777777" w:rsidR="00A722FC" w:rsidRPr="00806212" w:rsidRDefault="00A722FC" w:rsidP="00A722FC">
      <w:pPr>
        <w:pStyle w:val="NormalHanging12a"/>
      </w:pPr>
      <w:r w:rsidRPr="00806212">
        <w:t>F.</w:t>
      </w:r>
      <w:r w:rsidRPr="00806212">
        <w:tab/>
        <w:t>billi l-Artikolu 46(2), (3) u (4) tal-Liġi Bażika tar-Repubblika Federali tal-Ġermanja jipprevedi dan li ġej:</w:t>
      </w:r>
    </w:p>
    <w:p w14:paraId="3C8CD857" w14:textId="77777777" w:rsidR="00A722FC" w:rsidRPr="00806212" w:rsidRDefault="00A722FC" w:rsidP="00A722FC">
      <w:pPr>
        <w:pStyle w:val="NormalHanging12a"/>
        <w:ind w:left="1134"/>
      </w:pPr>
      <w:r w:rsidRPr="00806212">
        <w:t xml:space="preserve">“(2) </w:t>
      </w:r>
      <w:r w:rsidRPr="00806212">
        <w:tab/>
        <w:t>Membru ma jistax jinżamm responsabbli jew inkella arrestat għal reat kastigabbli mingħajr il-permess tal-Bundestag, sakemm ma jinqabadx fil-fatt iwettaq ir-reat jew inkella l-għada.</w:t>
      </w:r>
    </w:p>
    <w:p w14:paraId="02545C46" w14:textId="77777777" w:rsidR="00A722FC" w:rsidRPr="00806212" w:rsidRDefault="00A722FC" w:rsidP="00A722FC">
      <w:pPr>
        <w:pStyle w:val="NormalHanging12a"/>
        <w:ind w:left="1134"/>
      </w:pPr>
      <w:r w:rsidRPr="00806212">
        <w:t xml:space="preserve">(3) </w:t>
      </w:r>
      <w:r w:rsidRPr="00806212">
        <w:tab/>
        <w:t>Il-permess tal-Bundestag għandu jkun meħtieġ ukoll għal kwalunkwe restrizzjoni oħra tal-libertà tal-persuna tal-Membru jew biex jinbdew proċedimenti kontra Membru skont l-Artikolu 18.</w:t>
      </w:r>
    </w:p>
    <w:p w14:paraId="796494A9" w14:textId="77777777" w:rsidR="00A722FC" w:rsidRPr="00806212" w:rsidRDefault="00A722FC" w:rsidP="00A722FC">
      <w:pPr>
        <w:pStyle w:val="NormalHanging12a"/>
        <w:ind w:left="1134"/>
      </w:pPr>
      <w:r w:rsidRPr="00806212">
        <w:lastRenderedPageBreak/>
        <w:t xml:space="preserve">(4) </w:t>
      </w:r>
      <w:r w:rsidRPr="00806212">
        <w:tab/>
        <w:t>Kwalunkwe proċediment kriminali jew proċediment skont l-Artikolu 18 kontra Membru u kwalunkwe detenzjoni jew restrizzjoni oħra tal-libertà tal-persuna tiegħu għandhom jiġu sospiżi fuq talba tal-Bundestag.”;</w:t>
      </w:r>
    </w:p>
    <w:p w14:paraId="22A8102F" w14:textId="77777777" w:rsidR="00A722FC" w:rsidRPr="00806212" w:rsidRDefault="00A722FC" w:rsidP="00A722FC">
      <w:pPr>
        <w:pStyle w:val="NormalHanging12a"/>
      </w:pPr>
      <w:r w:rsidRPr="00806212">
        <w:t>G.</w:t>
      </w:r>
      <w:r w:rsidRPr="00806212">
        <w:tab/>
        <w:t>billi l-għan tal-immunità prevista fil-Protokoll Nru 7 dwar il-Privileġġi u l-Immunitajiet tal-Unjoni Ewropea huwa li tipproteġi lill-Parlament u lill-Membri tiegħu minn proċedimenti ġudizzjarji fir-rigward ta’ attivitajiet imwettqa fil-qadi tad-dmirijiet parlamentari u li huma inseparabbli minn dawk id-dmirijiet;</w:t>
      </w:r>
    </w:p>
    <w:p w14:paraId="24819E23" w14:textId="77777777" w:rsidR="00A722FC" w:rsidRPr="00806212" w:rsidRDefault="00A722FC" w:rsidP="00A722FC">
      <w:pPr>
        <w:pStyle w:val="NormalHanging12a"/>
      </w:pPr>
      <w:r w:rsidRPr="00806212">
        <w:t>H.</w:t>
      </w:r>
      <w:r w:rsidRPr="00806212">
        <w:tab/>
        <w:t>billi, skont l-Artikolu 5(2) tar-Regoli ta’ Proċedura tiegħu, l-immunità parlamentari mhix privileġġ personali ta’ Membru imma garanzija tal-indipendenza tal-Parlament kollu kemm hu u tal-Membri tiegħu;</w:t>
      </w:r>
    </w:p>
    <w:p w14:paraId="1B9C6DFF" w14:textId="77777777" w:rsidR="00A722FC" w:rsidRPr="00806212" w:rsidRDefault="00A722FC" w:rsidP="00A722FC">
      <w:pPr>
        <w:pStyle w:val="NormalHanging12a"/>
      </w:pPr>
      <w:r w:rsidRPr="00806212">
        <w:t>I.</w:t>
      </w:r>
      <w:r w:rsidRPr="00806212">
        <w:tab/>
        <w:t xml:space="preserve">billi, f’dan il-każ, il-Parlament ma sab l-ebda evidenza ta’ </w:t>
      </w:r>
      <w:r w:rsidRPr="00806212">
        <w:rPr>
          <w:i/>
        </w:rPr>
        <w:t>fumus persecutionis</w:t>
      </w:r>
      <w:r w:rsidRPr="00806212">
        <w:t>, jiġifieri elementi fattwali li jindikaw li l-proċedimenti ġudizzjarji sottostanti inkwistjoni kellhom l-intenzjoni li jimminaw l-attività politika tal-Membru fil-kapaċità tiegħu bħala Membru tal-Parlament Ewropew;</w:t>
      </w:r>
    </w:p>
    <w:p w14:paraId="5B349BD6" w14:textId="77777777" w:rsidR="00A722FC" w:rsidRPr="00806212" w:rsidRDefault="00A722FC" w:rsidP="00A722FC">
      <w:pPr>
        <w:pStyle w:val="NormalHanging12a"/>
      </w:pPr>
      <w:r w:rsidRPr="00806212">
        <w:t>J.</w:t>
      </w:r>
      <w:r w:rsidRPr="00806212">
        <w:tab/>
        <w:t>billi, minn naħa, il-Parlament ma jistax jitqies bħala qorti u, min-naħa l-oħra, il-Membru ma jistax, fil-kuntest ta’ proċedura għat-tneħħija tal-immunità, jitqies bħala “akkużat”</w:t>
      </w:r>
      <w:r w:rsidRPr="00806212">
        <w:rPr>
          <w:vertAlign w:val="superscript"/>
        </w:rPr>
        <w:footnoteReference w:id="2"/>
      </w:r>
      <w:r w:rsidRPr="00806212">
        <w:t>;</w:t>
      </w:r>
    </w:p>
    <w:p w14:paraId="0C4B5688" w14:textId="77777777" w:rsidR="00A722FC" w:rsidRPr="00806212" w:rsidRDefault="00A722FC" w:rsidP="00A722FC">
      <w:pPr>
        <w:pStyle w:val="NormalHanging12a"/>
      </w:pPr>
      <w:r w:rsidRPr="00806212">
        <w:t>1.</w:t>
      </w:r>
      <w:r w:rsidRPr="00806212">
        <w:tab/>
        <w:t>Jiddeċiedi li jneħħi l-immunità ta’ Petr Bystron;</w:t>
      </w:r>
    </w:p>
    <w:p w14:paraId="41436790" w14:textId="533F2F9F" w:rsidR="00806212" w:rsidRPr="00806212" w:rsidRDefault="00A722FC" w:rsidP="00806212">
      <w:pPr>
        <w:pStyle w:val="NormalHanging12a"/>
      </w:pPr>
      <w:r w:rsidRPr="00806212">
        <w:t>2.</w:t>
      </w:r>
      <w:r w:rsidRPr="00806212">
        <w:tab/>
        <w:t>Jagħti istruzzjonijiet lill-President tiegħu biex tgħaddi minnufih din id-deċiżjoni u r-rapport tal-kumitat responsabbli tiegħu lill-awtorità kompetenti tar-Repubblika Federali tal-Ġermanja u lil Petr Bystron.</w:t>
      </w:r>
    </w:p>
    <w:p w14:paraId="40E2BBC4" w14:textId="30B79E3A" w:rsidR="00E365E1" w:rsidRPr="00806212" w:rsidRDefault="00E365E1" w:rsidP="00D74D6A"/>
    <w:sectPr w:rsidR="00E365E1" w:rsidRPr="00806212" w:rsidSect="008062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05B5F" w14:textId="77777777" w:rsidR="00D74D6A" w:rsidRPr="00806212" w:rsidRDefault="00D74D6A">
      <w:r w:rsidRPr="00806212">
        <w:separator/>
      </w:r>
    </w:p>
  </w:endnote>
  <w:endnote w:type="continuationSeparator" w:id="0">
    <w:p w14:paraId="079E6954" w14:textId="77777777" w:rsidR="00D74D6A" w:rsidRPr="00806212" w:rsidRDefault="00D74D6A">
      <w:r w:rsidRPr="008062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5D47E" w14:textId="77777777" w:rsidR="00064002" w:rsidRPr="0080621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72FC1" w14:textId="77777777" w:rsidR="00064002" w:rsidRPr="0080621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122DA" w14:textId="77777777" w:rsidR="00064002" w:rsidRPr="0080621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19B1D" w14:textId="77777777" w:rsidR="00D74D6A" w:rsidRPr="00806212" w:rsidRDefault="00D74D6A">
      <w:r w:rsidRPr="00806212">
        <w:separator/>
      </w:r>
    </w:p>
  </w:footnote>
  <w:footnote w:type="continuationSeparator" w:id="0">
    <w:p w14:paraId="6F1CC80D" w14:textId="77777777" w:rsidR="00D74D6A" w:rsidRPr="00806212" w:rsidRDefault="00D74D6A">
      <w:r w:rsidRPr="00806212">
        <w:continuationSeparator/>
      </w:r>
    </w:p>
  </w:footnote>
  <w:footnote w:id="1">
    <w:p w14:paraId="6C69A424" w14:textId="3E7DFCB6" w:rsidR="00A722FC" w:rsidRPr="00806212" w:rsidRDefault="00A722FC" w:rsidP="00806212">
      <w:pPr>
        <w:pStyle w:val="FootnoteText"/>
        <w:ind w:left="567" w:hanging="567"/>
        <w:rPr>
          <w:sz w:val="24"/>
          <w:lang w:val="mt-MT"/>
        </w:rPr>
      </w:pPr>
      <w:r w:rsidRPr="00806212">
        <w:rPr>
          <w:rStyle w:val="FootnoteReference"/>
          <w:sz w:val="24"/>
          <w:lang w:val="mt-MT"/>
        </w:rPr>
        <w:footnoteRef/>
      </w:r>
      <w:r w:rsidR="00806212" w:rsidRPr="00806212">
        <w:rPr>
          <w:sz w:val="24"/>
          <w:lang w:val="mt-MT"/>
        </w:rPr>
        <w:t xml:space="preserve"> </w:t>
      </w:r>
      <w:r w:rsidR="00806212" w:rsidRPr="00806212">
        <w:rPr>
          <w:sz w:val="24"/>
          <w:lang w:val="mt-MT"/>
        </w:rPr>
        <w:tab/>
      </w:r>
      <w:r w:rsidRPr="00806212">
        <w:rPr>
          <w:sz w:val="24"/>
          <w:lang w:val="mt-MT"/>
        </w:rPr>
        <w:t xml:space="preserve">Is-sentenza tal-Qorti tal-Ġustizzja tal-21 ta’ Ottubru 2008, </w:t>
      </w:r>
      <w:r w:rsidRPr="00806212">
        <w:rPr>
          <w:i/>
          <w:sz w:val="24"/>
          <w:lang w:val="mt-MT"/>
        </w:rPr>
        <w:t>Marra</w:t>
      </w:r>
      <w:r w:rsidRPr="00806212">
        <w:rPr>
          <w:sz w:val="24"/>
          <w:lang w:val="mt-MT"/>
        </w:rPr>
        <w:t xml:space="preserve"> vs </w:t>
      </w:r>
      <w:r w:rsidRPr="00806212">
        <w:rPr>
          <w:i/>
          <w:sz w:val="24"/>
          <w:lang w:val="mt-MT"/>
        </w:rPr>
        <w:t>De Gregorio u Clemente</w:t>
      </w:r>
      <w:r w:rsidRPr="00806212">
        <w:rPr>
          <w:sz w:val="24"/>
          <w:lang w:val="mt-MT"/>
        </w:rPr>
        <w:t xml:space="preserve">, C-200/07 u C-201/07, ECLI:EU:C:2008:579; is-sentenza tal-Qorti Ġenerali tad-19 ta’ Marzu 2010, </w:t>
      </w:r>
      <w:r w:rsidRPr="00806212">
        <w:rPr>
          <w:i/>
          <w:sz w:val="24"/>
          <w:lang w:val="mt-MT"/>
        </w:rPr>
        <w:t>Gollnisch</w:t>
      </w:r>
      <w:r w:rsidRPr="00806212">
        <w:rPr>
          <w:sz w:val="24"/>
          <w:lang w:val="mt-MT"/>
        </w:rPr>
        <w:t xml:space="preserve"> vs </w:t>
      </w:r>
      <w:r w:rsidRPr="00806212">
        <w:rPr>
          <w:i/>
          <w:sz w:val="24"/>
          <w:lang w:val="mt-MT"/>
        </w:rPr>
        <w:t>Il-Parlament</w:t>
      </w:r>
      <w:r w:rsidRPr="00806212">
        <w:rPr>
          <w:sz w:val="24"/>
          <w:lang w:val="mt-MT"/>
        </w:rPr>
        <w:t xml:space="preserve">, T-42/05, ECLI:EU:T:2010:102; is-sentenza tal-Qorti tal-Ġustizzja tas-6 ta’ Settembru 2011, </w:t>
      </w:r>
      <w:r w:rsidRPr="00806212">
        <w:rPr>
          <w:i/>
          <w:sz w:val="24"/>
          <w:lang w:val="mt-MT"/>
        </w:rPr>
        <w:t>Patriciello</w:t>
      </w:r>
      <w:r w:rsidRPr="00806212">
        <w:rPr>
          <w:sz w:val="24"/>
          <w:lang w:val="mt-MT"/>
        </w:rPr>
        <w:t xml:space="preserve">, C 163/10, ECLI: EU:C:2011:543; is-sentenza tal-Qorti Ġenerali tas-17 ta’ Jannar 2013, </w:t>
      </w:r>
      <w:r w:rsidRPr="00806212">
        <w:rPr>
          <w:i/>
          <w:sz w:val="24"/>
          <w:lang w:val="mt-MT"/>
        </w:rPr>
        <w:t>Gollnisch</w:t>
      </w:r>
      <w:r w:rsidRPr="00806212">
        <w:rPr>
          <w:sz w:val="24"/>
          <w:lang w:val="mt-MT"/>
        </w:rPr>
        <w:t xml:space="preserve"> vs </w:t>
      </w:r>
      <w:r w:rsidRPr="00806212">
        <w:rPr>
          <w:i/>
          <w:sz w:val="24"/>
          <w:lang w:val="mt-MT"/>
        </w:rPr>
        <w:t>Il-Parlament</w:t>
      </w:r>
      <w:r w:rsidRPr="00806212">
        <w:rPr>
          <w:sz w:val="24"/>
          <w:lang w:val="mt-MT"/>
        </w:rPr>
        <w:t xml:space="preserve">, T-346/11 u T-347/11, ECLI:EU:T:2013:23; is-sentenza tal-Qorti tal-Ġustizzja tad-19 ta’ Diċembru 2019, </w:t>
      </w:r>
      <w:r w:rsidRPr="00806212">
        <w:rPr>
          <w:i/>
          <w:sz w:val="24"/>
          <w:lang w:val="mt-MT"/>
        </w:rPr>
        <w:t>Junqueras Vies</w:t>
      </w:r>
      <w:r w:rsidRPr="00806212">
        <w:rPr>
          <w:sz w:val="24"/>
          <w:lang w:val="mt-MT"/>
        </w:rPr>
        <w:t xml:space="preserve">, C-502/19, ECLI:EU:C:2019:1115; is-sentenza tal-Qorti Ġenerali tal-5 ta’ Lulju 2023, </w:t>
      </w:r>
      <w:r w:rsidRPr="00806212">
        <w:rPr>
          <w:i/>
          <w:sz w:val="24"/>
          <w:lang w:val="mt-MT"/>
        </w:rPr>
        <w:t>Puigdemont i Casamajó et</w:t>
      </w:r>
      <w:r w:rsidRPr="00806212">
        <w:rPr>
          <w:sz w:val="24"/>
          <w:lang w:val="mt-MT"/>
        </w:rPr>
        <w:t xml:space="preserve"> vs </w:t>
      </w:r>
      <w:r w:rsidRPr="00806212">
        <w:rPr>
          <w:i/>
          <w:sz w:val="24"/>
          <w:lang w:val="mt-MT"/>
        </w:rPr>
        <w:t>Il-Parlament</w:t>
      </w:r>
      <w:r w:rsidRPr="00806212">
        <w:rPr>
          <w:sz w:val="24"/>
          <w:lang w:val="mt-MT"/>
        </w:rPr>
        <w:t>, T-272/21, ECLI:EU:T:2023:373.</w:t>
      </w:r>
    </w:p>
  </w:footnote>
  <w:footnote w:id="2">
    <w:p w14:paraId="2BCAE1FB" w14:textId="025BE9F4" w:rsidR="00A722FC" w:rsidRPr="00806212" w:rsidRDefault="00A722FC" w:rsidP="00806212">
      <w:pPr>
        <w:pStyle w:val="FootnoteText"/>
        <w:ind w:left="567" w:hanging="567"/>
        <w:rPr>
          <w:sz w:val="24"/>
          <w:lang w:val="mt-MT"/>
        </w:rPr>
      </w:pPr>
      <w:r w:rsidRPr="00806212">
        <w:rPr>
          <w:rStyle w:val="FootnoteReference"/>
          <w:sz w:val="24"/>
          <w:lang w:val="mt-MT"/>
        </w:rPr>
        <w:footnoteRef/>
      </w:r>
      <w:r w:rsidR="00806212" w:rsidRPr="00806212">
        <w:rPr>
          <w:sz w:val="24"/>
          <w:lang w:val="mt-MT"/>
        </w:rPr>
        <w:t xml:space="preserve"> </w:t>
      </w:r>
      <w:r w:rsidR="00806212" w:rsidRPr="00806212">
        <w:rPr>
          <w:sz w:val="24"/>
          <w:lang w:val="mt-MT"/>
        </w:rPr>
        <w:tab/>
      </w:r>
      <w:r w:rsidRPr="00806212">
        <w:rPr>
          <w:sz w:val="24"/>
          <w:lang w:val="mt-MT"/>
        </w:rPr>
        <w:t xml:space="preserve">Is-sentenza tal-Qorti Ġenerali tat-30 ta’ April 2019, </w:t>
      </w:r>
      <w:r w:rsidRPr="00806212">
        <w:rPr>
          <w:i/>
          <w:sz w:val="24"/>
          <w:lang w:val="mt-MT"/>
        </w:rPr>
        <w:t>Briois</w:t>
      </w:r>
      <w:r w:rsidRPr="00806212">
        <w:rPr>
          <w:sz w:val="24"/>
          <w:lang w:val="mt-MT"/>
        </w:rPr>
        <w:t xml:space="preserve"> vs </w:t>
      </w:r>
      <w:r w:rsidRPr="00806212">
        <w:rPr>
          <w:i/>
          <w:sz w:val="24"/>
          <w:lang w:val="mt-MT"/>
        </w:rPr>
        <w:t>Il-Parlament</w:t>
      </w:r>
      <w:r w:rsidRPr="00806212">
        <w:rPr>
          <w:sz w:val="24"/>
          <w:lang w:val="mt-M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C26BE" w14:textId="77777777" w:rsidR="00064002" w:rsidRPr="0080621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C81AE" w14:textId="77777777" w:rsidR="00064002" w:rsidRPr="0080621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F123E" w14:textId="77777777" w:rsidR="00064002" w:rsidRPr="0080621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1416052">
    <w:abstractNumId w:val="9"/>
  </w:num>
  <w:num w:numId="2" w16cid:durableId="671300068">
    <w:abstractNumId w:val="9"/>
  </w:num>
  <w:num w:numId="3" w16cid:durableId="577597549">
    <w:abstractNumId w:val="7"/>
  </w:num>
  <w:num w:numId="4" w16cid:durableId="124739434">
    <w:abstractNumId w:val="7"/>
  </w:num>
  <w:num w:numId="5" w16cid:durableId="488134008">
    <w:abstractNumId w:val="6"/>
  </w:num>
  <w:num w:numId="6" w16cid:durableId="1790734620">
    <w:abstractNumId w:val="6"/>
  </w:num>
  <w:num w:numId="7" w16cid:durableId="649528167">
    <w:abstractNumId w:val="5"/>
  </w:num>
  <w:num w:numId="8" w16cid:durableId="1658803002">
    <w:abstractNumId w:val="5"/>
  </w:num>
  <w:num w:numId="9" w16cid:durableId="205065333">
    <w:abstractNumId w:val="4"/>
  </w:num>
  <w:num w:numId="10" w16cid:durableId="2108113136">
    <w:abstractNumId w:val="4"/>
  </w:num>
  <w:num w:numId="11" w16cid:durableId="148592922">
    <w:abstractNumId w:val="8"/>
  </w:num>
  <w:num w:numId="12" w16cid:durableId="615677287">
    <w:abstractNumId w:val="8"/>
  </w:num>
  <w:num w:numId="13" w16cid:durableId="1462771217">
    <w:abstractNumId w:val="3"/>
  </w:num>
  <w:num w:numId="14" w16cid:durableId="2092268065">
    <w:abstractNumId w:val="3"/>
  </w:num>
  <w:num w:numId="15" w16cid:durableId="1121727241">
    <w:abstractNumId w:val="2"/>
  </w:num>
  <w:num w:numId="16" w16cid:durableId="2123911285">
    <w:abstractNumId w:val="2"/>
  </w:num>
  <w:num w:numId="17" w16cid:durableId="1256594430">
    <w:abstractNumId w:val="1"/>
  </w:num>
  <w:num w:numId="18" w16cid:durableId="907805713">
    <w:abstractNumId w:val="1"/>
  </w:num>
  <w:num w:numId="19" w16cid:durableId="1909344555">
    <w:abstractNumId w:val="0"/>
  </w:num>
  <w:num w:numId="20" w16cid:durableId="801652230">
    <w:abstractNumId w:val="0"/>
  </w:num>
  <w:num w:numId="21" w16cid:durableId="174273468">
    <w:abstractNumId w:val="9"/>
  </w:num>
  <w:num w:numId="22" w16cid:durableId="1208566200">
    <w:abstractNumId w:val="7"/>
  </w:num>
  <w:num w:numId="23" w16cid:durableId="332031087">
    <w:abstractNumId w:val="6"/>
  </w:num>
  <w:num w:numId="24" w16cid:durableId="1043990674">
    <w:abstractNumId w:val="5"/>
  </w:num>
  <w:num w:numId="25" w16cid:durableId="614213580">
    <w:abstractNumId w:val="4"/>
  </w:num>
  <w:num w:numId="26" w16cid:durableId="656307290">
    <w:abstractNumId w:val="8"/>
  </w:num>
  <w:num w:numId="27" w16cid:durableId="1378357528">
    <w:abstractNumId w:val="3"/>
  </w:num>
  <w:num w:numId="28" w16cid:durableId="983512419">
    <w:abstractNumId w:val="2"/>
  </w:num>
  <w:num w:numId="29" w16cid:durableId="94719128">
    <w:abstractNumId w:val="1"/>
  </w:num>
  <w:num w:numId="30" w16cid:durableId="1828083071">
    <w:abstractNumId w:val="0"/>
  </w:num>
  <w:num w:numId="31" w16cid:durableId="1081222885">
    <w:abstractNumId w:val="9"/>
  </w:num>
  <w:num w:numId="32" w16cid:durableId="1410997721">
    <w:abstractNumId w:val="7"/>
  </w:num>
  <w:num w:numId="33" w16cid:durableId="1388720696">
    <w:abstractNumId w:val="6"/>
  </w:num>
  <w:num w:numId="34" w16cid:durableId="2140372944">
    <w:abstractNumId w:val="5"/>
  </w:num>
  <w:num w:numId="35" w16cid:durableId="1125081287">
    <w:abstractNumId w:val="4"/>
  </w:num>
  <w:num w:numId="36" w16cid:durableId="1152866683">
    <w:abstractNumId w:val="8"/>
  </w:num>
  <w:num w:numId="37" w16cid:durableId="1041586531">
    <w:abstractNumId w:val="3"/>
  </w:num>
  <w:num w:numId="38" w16cid:durableId="1926642124">
    <w:abstractNumId w:val="2"/>
  </w:num>
  <w:num w:numId="39" w16cid:durableId="342976721">
    <w:abstractNumId w:val="1"/>
  </w:num>
  <w:num w:numId="40" w16cid:durableId="865406828">
    <w:abstractNumId w:val="0"/>
  </w:num>
  <w:num w:numId="41" w16cid:durableId="1928415293">
    <w:abstractNumId w:val="10"/>
  </w:num>
  <w:num w:numId="42" w16cid:durableId="694310899">
    <w:abstractNumId w:val="10"/>
  </w:num>
  <w:num w:numId="43" w16cid:durableId="1697925977">
    <w:abstractNumId w:val="10"/>
  </w:num>
  <w:num w:numId="44" w16cid:durableId="4597370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9/2026"/>
    <w:docVar w:name="dvlangue" w:val="MT"/>
    <w:docVar w:name="dvnumam" w:val="0"/>
    <w:docVar w:name="dvpe" w:val="781.254"/>
    <w:docVar w:name="dvrapporteur" w:val="Rapporteur: "/>
    <w:docVar w:name="dvtitre" w:val="Riżoluzzjoni tal-Parlament Ewropew xx xx xxxx 2026 dwar it-talba għat-tneħħija tal-immunità ta’ Petr Bystron(2025/2077(IMM))"/>
  </w:docVars>
  <w:rsids>
    <w:rsidRoot w:val="00D74D6A"/>
    <w:rsid w:val="00002272"/>
    <w:rsid w:val="00064002"/>
    <w:rsid w:val="000677B9"/>
    <w:rsid w:val="000831BA"/>
    <w:rsid w:val="00083737"/>
    <w:rsid w:val="000A42CC"/>
    <w:rsid w:val="000E7DD9"/>
    <w:rsid w:val="0010095E"/>
    <w:rsid w:val="00125B37"/>
    <w:rsid w:val="001647D2"/>
    <w:rsid w:val="00187494"/>
    <w:rsid w:val="001F32AE"/>
    <w:rsid w:val="001F661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0DF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212"/>
    <w:rsid w:val="00817416"/>
    <w:rsid w:val="00842779"/>
    <w:rsid w:val="00865F67"/>
    <w:rsid w:val="008718EB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4A5A"/>
    <w:rsid w:val="00A1687D"/>
    <w:rsid w:val="00A43E52"/>
    <w:rsid w:val="00A4678D"/>
    <w:rsid w:val="00A478A8"/>
    <w:rsid w:val="00A722F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6A1F"/>
    <w:rsid w:val="00C61C0C"/>
    <w:rsid w:val="00C941CB"/>
    <w:rsid w:val="00C972DC"/>
    <w:rsid w:val="00CC2357"/>
    <w:rsid w:val="00CF071A"/>
    <w:rsid w:val="00D058B8"/>
    <w:rsid w:val="00D56C11"/>
    <w:rsid w:val="00D74D6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08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220548"/>
  <w15:chartTrackingRefBased/>
  <w15:docId w15:val="{70E6E49A-2F9D-498E-8A74-57EC8B31C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722FC"/>
    <w:pPr>
      <w:spacing w:after="240"/>
      <w:ind w:left="567" w:hanging="567"/>
    </w:pPr>
  </w:style>
  <w:style w:type="paragraph" w:customStyle="1" w:styleId="EPComma">
    <w:name w:val="EPComma"/>
    <w:basedOn w:val="Normal"/>
    <w:rsid w:val="00A722FC"/>
    <w:pPr>
      <w:spacing w:before="480" w:after="240"/>
    </w:pPr>
  </w:style>
  <w:style w:type="paragraph" w:styleId="Revision">
    <w:name w:val="Revision"/>
    <w:hidden/>
    <w:uiPriority w:val="99"/>
    <w:semiHidden/>
    <w:rsid w:val="00A478A8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756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2026-02-10T12:37:00Z</dcterms:created>
  <dcterms:modified xsi:type="dcterms:W3CDTF">2026-02-10T12:37:00Z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A10-0009/2026</vt:lpwstr>
  </property>
  <property fmtid="{D5CDD505-2E9C-101B-9397-08002B2CF9AE}" pid="4" name="&lt;Type&gt;">
    <vt:lpwstr>RR</vt:lpwstr>
  </property>
</Properties>
</file>