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73E2" w14:paraId="4F3B29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0C87D0" w14:textId="7D7E7480" w:rsidR="00751A4A" w:rsidRPr="008B73E2" w:rsidRDefault="00131341" w:rsidP="0010095E">
            <w:pPr>
              <w:pStyle w:val="EPName"/>
            </w:pPr>
            <w:r w:rsidRPr="008B73E2">
              <w:t>Parlament Europejski</w:t>
            </w:r>
          </w:p>
          <w:p w14:paraId="34C2FF52" w14:textId="77777777" w:rsidR="00751A4A" w:rsidRPr="008B73E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73E2">
              <w:t>2024</w:t>
            </w:r>
            <w:r w:rsidR="00817416" w:rsidRPr="008B73E2">
              <w:t>-202</w:t>
            </w:r>
            <w:r w:rsidRPr="008B73E2">
              <w:t>9</w:t>
            </w:r>
          </w:p>
        </w:tc>
        <w:tc>
          <w:tcPr>
            <w:tcW w:w="2268" w:type="dxa"/>
            <w:shd w:val="clear" w:color="auto" w:fill="auto"/>
          </w:tcPr>
          <w:p w14:paraId="37C9AE94" w14:textId="77777777" w:rsidR="00751A4A" w:rsidRPr="008B73E2" w:rsidRDefault="00187494" w:rsidP="0010095E">
            <w:pPr>
              <w:pStyle w:val="EPLogo"/>
            </w:pPr>
            <w:r w:rsidRPr="008B73E2">
              <w:rPr>
                <w:noProof/>
                <w:lang w:eastAsia="ja-JP"/>
              </w:rPr>
              <w:drawing>
                <wp:inline distT="0" distB="0" distL="0" distR="0" wp14:anchorId="06420A34" wp14:editId="2E8E129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BA9762" w14:textId="77777777" w:rsidR="00D058B8" w:rsidRPr="008B73E2" w:rsidRDefault="00D058B8" w:rsidP="004C5D52">
      <w:pPr>
        <w:pStyle w:val="LineTop"/>
      </w:pPr>
    </w:p>
    <w:p w14:paraId="304E53A8" w14:textId="2D546CA8" w:rsidR="00680577" w:rsidRPr="008B73E2" w:rsidRDefault="00131341" w:rsidP="00680577">
      <w:pPr>
        <w:pStyle w:val="EPBodyTA1"/>
      </w:pPr>
      <w:r w:rsidRPr="008B73E2">
        <w:t>TEKSTY PRZYJĘTE</w:t>
      </w:r>
    </w:p>
    <w:p w14:paraId="47EC31B1" w14:textId="77777777" w:rsidR="00D058B8" w:rsidRPr="008B73E2" w:rsidRDefault="00D058B8" w:rsidP="00D058B8">
      <w:pPr>
        <w:pStyle w:val="LineBottom"/>
      </w:pPr>
    </w:p>
    <w:p w14:paraId="6E3983C0" w14:textId="53DD7AEA" w:rsidR="00131341" w:rsidRPr="008B73E2" w:rsidRDefault="00131341" w:rsidP="00131341">
      <w:pPr>
        <w:pStyle w:val="ATHeading1"/>
      </w:pPr>
      <w:bookmarkStart w:id="0" w:name="TANumber"/>
      <w:r w:rsidRPr="008B73E2">
        <w:t>P10_TA(2026)00</w:t>
      </w:r>
      <w:r w:rsidR="00217C7F">
        <w:t>27</w:t>
      </w:r>
      <w:bookmarkEnd w:id="0"/>
    </w:p>
    <w:p w14:paraId="06556D5E" w14:textId="77777777" w:rsidR="00131341" w:rsidRPr="008B73E2" w:rsidRDefault="00131341" w:rsidP="00131341">
      <w:pPr>
        <w:pStyle w:val="ATHeading2"/>
      </w:pPr>
      <w:bookmarkStart w:id="1" w:name="title"/>
      <w:r w:rsidRPr="008B73E2">
        <w:t xml:space="preserve">Wniosek o uchylenie immunitetu Petra </w:t>
      </w:r>
      <w:proofErr w:type="spellStart"/>
      <w:r w:rsidRPr="008B73E2">
        <w:t>Bystrona</w:t>
      </w:r>
      <w:bookmarkEnd w:id="1"/>
      <w:proofErr w:type="spellEnd"/>
    </w:p>
    <w:p w14:paraId="4CA06BA9" w14:textId="77777777" w:rsidR="00131341" w:rsidRPr="008B73E2" w:rsidRDefault="00131341" w:rsidP="00131341">
      <w:pPr>
        <w:rPr>
          <w:i/>
          <w:vanish/>
        </w:rPr>
      </w:pPr>
      <w:r w:rsidRPr="008B73E2">
        <w:rPr>
          <w:i/>
        </w:rPr>
        <w:fldChar w:fldCharType="begin"/>
      </w:r>
      <w:r w:rsidRPr="008B73E2">
        <w:rPr>
          <w:i/>
        </w:rPr>
        <w:instrText xml:space="preserve"> TC"(</w:instrText>
      </w:r>
      <w:bookmarkStart w:id="2" w:name="DocNumber"/>
      <w:r w:rsidRPr="008B73E2">
        <w:rPr>
          <w:i/>
        </w:rPr>
        <w:instrText>A10-0009/2026</w:instrText>
      </w:r>
      <w:bookmarkEnd w:id="2"/>
      <w:r w:rsidRPr="008B73E2">
        <w:rPr>
          <w:i/>
        </w:rPr>
        <w:instrText xml:space="preserve"> - Sprawozdawca: </w:instrText>
      </w:r>
      <w:proofErr w:type="spellStart"/>
      <w:r w:rsidRPr="008B73E2">
        <w:rPr>
          <w:i/>
        </w:rPr>
        <w:instrText>Adrián</w:instrText>
      </w:r>
      <w:proofErr w:type="spellEnd"/>
      <w:r w:rsidRPr="008B73E2">
        <w:rPr>
          <w:i/>
        </w:rPr>
        <w:instrText xml:space="preserve"> </w:instrText>
      </w:r>
      <w:proofErr w:type="spellStart"/>
      <w:r w:rsidRPr="008B73E2">
        <w:rPr>
          <w:i/>
        </w:rPr>
        <w:instrText>Vázquez</w:instrText>
      </w:r>
      <w:proofErr w:type="spellEnd"/>
      <w:r w:rsidRPr="008B73E2">
        <w:rPr>
          <w:i/>
        </w:rPr>
        <w:instrText xml:space="preserve"> </w:instrText>
      </w:r>
      <w:proofErr w:type="spellStart"/>
      <w:r w:rsidRPr="008B73E2">
        <w:rPr>
          <w:i/>
        </w:rPr>
        <w:instrText>Lázara</w:instrText>
      </w:r>
      <w:proofErr w:type="spellEnd"/>
      <w:r w:rsidRPr="008B73E2">
        <w:rPr>
          <w:i/>
        </w:rPr>
        <w:instrText xml:space="preserve">)"\l3 \n&gt; \* MERGEFORMAT </w:instrText>
      </w:r>
      <w:r w:rsidRPr="008B73E2">
        <w:rPr>
          <w:i/>
        </w:rPr>
        <w:fldChar w:fldCharType="end"/>
      </w:r>
    </w:p>
    <w:p w14:paraId="0460AAA2" w14:textId="77777777" w:rsidR="00131341" w:rsidRPr="008B73E2" w:rsidRDefault="00131341" w:rsidP="00131341">
      <w:pPr>
        <w:rPr>
          <w:vanish/>
        </w:rPr>
      </w:pPr>
      <w:bookmarkStart w:id="3" w:name="Commission"/>
      <w:r w:rsidRPr="008B73E2">
        <w:rPr>
          <w:vanish/>
        </w:rPr>
        <w:t>Komisja Prawna</w:t>
      </w:r>
      <w:bookmarkEnd w:id="3"/>
    </w:p>
    <w:p w14:paraId="7C029AFD" w14:textId="77777777" w:rsidR="00131341" w:rsidRPr="008B73E2" w:rsidRDefault="00131341" w:rsidP="00131341">
      <w:pPr>
        <w:rPr>
          <w:vanish/>
        </w:rPr>
      </w:pPr>
      <w:bookmarkStart w:id="4" w:name="PE"/>
      <w:r w:rsidRPr="008B73E2">
        <w:rPr>
          <w:vanish/>
        </w:rPr>
        <w:t>PE781.254</w:t>
      </w:r>
      <w:bookmarkEnd w:id="4"/>
    </w:p>
    <w:p w14:paraId="77656DEF" w14:textId="3266996D" w:rsidR="00131341" w:rsidRPr="008B73E2" w:rsidRDefault="00131341" w:rsidP="00131341">
      <w:pPr>
        <w:pStyle w:val="ATHeading3"/>
      </w:pPr>
      <w:bookmarkStart w:id="5" w:name="Sujet"/>
      <w:r w:rsidRPr="008B73E2">
        <w:t xml:space="preserve">Decyzja Parlamentu Europejskiego z dnia </w:t>
      </w:r>
      <w:r w:rsidR="00B64F0D">
        <w:t>10 lutego</w:t>
      </w:r>
      <w:r w:rsidRPr="008B73E2">
        <w:t xml:space="preserve"> 2026 r. w sprawie wniosku o uchylenie immunitetu Petra </w:t>
      </w:r>
      <w:proofErr w:type="spellStart"/>
      <w:r w:rsidRPr="008B73E2">
        <w:t>Bystrona</w:t>
      </w:r>
      <w:bookmarkEnd w:id="5"/>
      <w:proofErr w:type="spellEnd"/>
      <w:r w:rsidRPr="008B73E2">
        <w:t xml:space="preserve"> </w:t>
      </w:r>
      <w:bookmarkStart w:id="6" w:name="References"/>
      <w:r w:rsidRPr="008B73E2">
        <w:t>(2025/2077(IMM))</w:t>
      </w:r>
      <w:bookmarkEnd w:id="6"/>
    </w:p>
    <w:p w14:paraId="7B64875D" w14:textId="77777777" w:rsidR="00DD0BBF" w:rsidRPr="008B73E2" w:rsidRDefault="00DD0BBF" w:rsidP="00DD0BBF">
      <w:pPr>
        <w:pStyle w:val="EPComma"/>
      </w:pPr>
      <w:bookmarkStart w:id="7" w:name="TextBodyBegin"/>
      <w:bookmarkEnd w:id="7"/>
      <w:r w:rsidRPr="008B73E2">
        <w:rPr>
          <w:i/>
        </w:rPr>
        <w:t>Parlament Europejski</w:t>
      </w:r>
      <w:r w:rsidRPr="008B73E2">
        <w:t>,</w:t>
      </w:r>
    </w:p>
    <w:p w14:paraId="5AAA0759" w14:textId="77777777" w:rsidR="00DD0BBF" w:rsidRPr="008B73E2" w:rsidRDefault="00DD0BBF" w:rsidP="00DD0BBF">
      <w:pPr>
        <w:pStyle w:val="NormalHanging12a"/>
      </w:pPr>
      <w:r w:rsidRPr="008B73E2">
        <w:t>–</w:t>
      </w:r>
      <w:r w:rsidRPr="008B73E2">
        <w:tab/>
        <w:t xml:space="preserve">uwzględniając wniosek o uchylenie immunitetu Petra </w:t>
      </w:r>
      <w:proofErr w:type="spellStart"/>
      <w:r w:rsidRPr="008B73E2">
        <w:t>Bystrona</w:t>
      </w:r>
      <w:proofErr w:type="spellEnd"/>
      <w:r w:rsidRPr="008B73E2">
        <w:t>, który wpłynął pismem niemieckiego federalnego ministerstwa sprawiedliwości z 24 października 2024 r., przekazującym wniosek prokuratora naczelnego w Monachium związany z wszczętym przeciwko posłowi postępowaniem karnym, ogłoszony na posiedzeniu plenarnym 3 kwietnia 2025 r.,</w:t>
      </w:r>
    </w:p>
    <w:p w14:paraId="47E8D83E" w14:textId="77777777" w:rsidR="00DD0BBF" w:rsidRPr="008B73E2" w:rsidRDefault="00DD0BBF" w:rsidP="00DD0BBF">
      <w:pPr>
        <w:pStyle w:val="NormalHanging12a"/>
      </w:pPr>
      <w:r w:rsidRPr="008B73E2">
        <w:t>–</w:t>
      </w:r>
      <w:r w:rsidRPr="008B73E2">
        <w:tab/>
        <w:t xml:space="preserve">uwzględniając fakt, że należy przyjąć, iż Petr </w:t>
      </w:r>
      <w:proofErr w:type="spellStart"/>
      <w:r w:rsidRPr="008B73E2">
        <w:t>Bystron</w:t>
      </w:r>
      <w:proofErr w:type="spellEnd"/>
      <w:r w:rsidRPr="008B73E2">
        <w:t xml:space="preserve"> zrzekł się prawa do udzielenia wyjaśnień zgodnie z art. 9 ust. 6 Regulaminu,</w:t>
      </w:r>
    </w:p>
    <w:p w14:paraId="4ABCA67A" w14:textId="77777777" w:rsidR="00DD0BBF" w:rsidRPr="008B73E2" w:rsidRDefault="00DD0BBF" w:rsidP="00DD0BBF">
      <w:pPr>
        <w:pStyle w:val="NormalHanging12a"/>
      </w:pPr>
      <w:r w:rsidRPr="008B73E2">
        <w:t>–</w:t>
      </w:r>
      <w:r w:rsidRPr="008B73E2">
        <w:tab/>
        <w:t>uwzględniając art. 8 i 9 protokołu nr 7 w sprawie przywilejów i immunitetów Unii Europejskiej, jak również art. 6 ust. 2 aktu dotyczącego wyboru członków Parlamentu Europejskiego w powszechnych wyborach bezpośrednich z dnia 20 września 1976 r.,</w:t>
      </w:r>
    </w:p>
    <w:p w14:paraId="424B7C00" w14:textId="77777777" w:rsidR="00DD0BBF" w:rsidRPr="008B73E2" w:rsidRDefault="00DD0BBF" w:rsidP="00DD0BBF">
      <w:pPr>
        <w:pStyle w:val="NormalHanging12a"/>
      </w:pPr>
      <w:r w:rsidRPr="008B73E2">
        <w:t>–</w:t>
      </w:r>
      <w:r w:rsidRPr="008B73E2">
        <w:tab/>
        <w:t>uwzględniając wyroki wydane przez Trybunał Sprawiedliwości Unii Europejskiej 21 października 2008 r., 19 marca 2010 r., 6 września 2011 r., 17 stycznia 2013 r., 19 grudnia 2019 r. i 5 lipca 2023 r.</w:t>
      </w:r>
      <w:r w:rsidRPr="008B73E2">
        <w:rPr>
          <w:vertAlign w:val="superscript"/>
        </w:rPr>
        <w:footnoteReference w:id="1"/>
      </w:r>
      <w:r w:rsidRPr="008B73E2">
        <w:t>,</w:t>
      </w:r>
    </w:p>
    <w:p w14:paraId="64E0D222" w14:textId="77777777" w:rsidR="00DD0BBF" w:rsidRPr="008B73E2" w:rsidRDefault="00DD0BBF" w:rsidP="00DD0BBF">
      <w:pPr>
        <w:pStyle w:val="NormalHanging12a"/>
      </w:pPr>
      <w:r w:rsidRPr="008B73E2">
        <w:t>–</w:t>
      </w:r>
      <w:r w:rsidRPr="008B73E2">
        <w:tab/>
        <w:t>uwzględniając art. 46 ustawy zasadniczej Republiki Federalnej Niemiec,</w:t>
      </w:r>
    </w:p>
    <w:p w14:paraId="1FEA3CCB" w14:textId="77777777" w:rsidR="00DD0BBF" w:rsidRPr="008B73E2" w:rsidRDefault="00DD0BBF" w:rsidP="00DD0BBF">
      <w:pPr>
        <w:pStyle w:val="NormalHanging12a"/>
      </w:pPr>
      <w:r w:rsidRPr="008B73E2">
        <w:lastRenderedPageBreak/>
        <w:t>–</w:t>
      </w:r>
      <w:r w:rsidRPr="008B73E2">
        <w:tab/>
        <w:t>uwzględniając art. 5 ust. 2, art. 6 ust. 1 oraz art. 9 Regulaminu,</w:t>
      </w:r>
    </w:p>
    <w:p w14:paraId="782AF46F" w14:textId="77777777" w:rsidR="00DD0BBF" w:rsidRPr="008B73E2" w:rsidRDefault="00DD0BBF" w:rsidP="00DD0BBF">
      <w:pPr>
        <w:pStyle w:val="NormalHanging12a"/>
      </w:pPr>
      <w:r w:rsidRPr="008B73E2">
        <w:t>–</w:t>
      </w:r>
      <w:r w:rsidRPr="008B73E2">
        <w:tab/>
        <w:t>uwzględniając sprawozdanie Komisji Prawnej (A10-0009/2026),</w:t>
      </w:r>
    </w:p>
    <w:p w14:paraId="22F04B79" w14:textId="66BEF410" w:rsidR="00DD0BBF" w:rsidRPr="008B73E2" w:rsidRDefault="00DD0BBF" w:rsidP="00DD0BBF">
      <w:pPr>
        <w:pStyle w:val="NormalHanging12a"/>
      </w:pPr>
      <w:r w:rsidRPr="008B73E2">
        <w:t>A.</w:t>
      </w:r>
      <w:r w:rsidRPr="008B73E2">
        <w:tab/>
        <w:t xml:space="preserve">mając na uwadze, że niemieckie Federalne Ministerstwo Sprawiedliwości przekazało wniosek Prokuratora Generalnego w Monachium o uchylenie immunitetu </w:t>
      </w:r>
      <w:r w:rsidR="00DE39DD" w:rsidRPr="008B73E2">
        <w:t xml:space="preserve">Petra </w:t>
      </w:r>
      <w:proofErr w:type="spellStart"/>
      <w:r w:rsidR="00DE39DD" w:rsidRPr="008B73E2">
        <w:t>Bystrona</w:t>
      </w:r>
      <w:proofErr w:type="spellEnd"/>
      <w:r w:rsidR="00DE39DD">
        <w:t>,</w:t>
      </w:r>
      <w:r w:rsidR="00DE39DD" w:rsidRPr="008B73E2">
        <w:t xml:space="preserve"> </w:t>
      </w:r>
      <w:r w:rsidRPr="008B73E2">
        <w:t>posła do Parlamentu Europejskiego</w:t>
      </w:r>
      <w:r w:rsidR="00DE39DD">
        <w:t xml:space="preserve"> wybranego w Niemczech,</w:t>
      </w:r>
      <w:r w:rsidRPr="008B73E2">
        <w:t xml:space="preserve"> w związku z podejrzeniem popełnienia czynów, które mogą stanowić oszustwo zgodnie z § 263 ust. 1 niemieckiego kodeksu karnego, w związku z zarzucanym nieprawdziwym oświadczeniem odnoszącym się do wypłaty dodatku zryczałtowanego;</w:t>
      </w:r>
    </w:p>
    <w:p w14:paraId="778C3240" w14:textId="77777777" w:rsidR="00DD0BBF" w:rsidRPr="008B73E2" w:rsidRDefault="00DD0BBF" w:rsidP="00DD0BBF">
      <w:pPr>
        <w:pStyle w:val="NormalHanging12a"/>
      </w:pPr>
      <w:r w:rsidRPr="008B73E2">
        <w:t>B.</w:t>
      </w:r>
      <w:r w:rsidRPr="008B73E2">
        <w:tab/>
        <w:t xml:space="preserve">mając na uwadze, że zgodnie z wnioskiem Petr </w:t>
      </w:r>
      <w:proofErr w:type="spellStart"/>
      <w:r w:rsidRPr="008B73E2">
        <w:t>Bystron</w:t>
      </w:r>
      <w:proofErr w:type="spellEnd"/>
      <w:r w:rsidRPr="008B73E2">
        <w:t xml:space="preserve"> od 2017 r. do lipca 2024 r. był posłem do niemieckiego Bundestagu; mając na uwadze, że jako poseł do niemieckiego Bundestagu poseł był uprawniony na podstawie niemieckiej ustawy o wykonywaniu mandatu posła (</w:t>
      </w:r>
      <w:proofErr w:type="spellStart"/>
      <w:r w:rsidRPr="008B73E2">
        <w:t>AbgG</w:t>
      </w:r>
      <w:proofErr w:type="spellEnd"/>
      <w:r w:rsidRPr="008B73E2">
        <w:t xml:space="preserve">) do zryczałtowanego dodatku, między innymi, na zatrudnienie pracowników (§ 12 ust. 3 </w:t>
      </w:r>
      <w:proofErr w:type="spellStart"/>
      <w:r w:rsidRPr="008B73E2">
        <w:t>AbgG</w:t>
      </w:r>
      <w:proofErr w:type="spellEnd"/>
      <w:r w:rsidRPr="008B73E2">
        <w:t xml:space="preserve">); mając na uwadze, że 10 listopada 2021 r. Petr </w:t>
      </w:r>
      <w:proofErr w:type="spellStart"/>
      <w:r w:rsidRPr="008B73E2">
        <w:t>Bystron</w:t>
      </w:r>
      <w:proofErr w:type="spellEnd"/>
      <w:r w:rsidRPr="008B73E2">
        <w:t xml:space="preserve"> podpisał umowę o pracę dotyczącą zatrudnienia członkini personelu na stanowisku „pracownika biurowego/sekretarki” w biurze w jego okręgu wyborczym w Monachium; mając na uwadze, że Petr </w:t>
      </w:r>
      <w:proofErr w:type="spellStart"/>
      <w:r w:rsidRPr="008B73E2">
        <w:t>Bystron</w:t>
      </w:r>
      <w:proofErr w:type="spellEnd"/>
      <w:r w:rsidRPr="008B73E2">
        <w:t xml:space="preserve">, przedkładając umowę o pracę administracji Bundestagu, wyraźnie oświadczył, iż pracownica ta będzie wykonywać obowiązki pracownika biurowego/sekretarki w jego biurze w okręgu wyborczym; mając na uwadze, że we wniosku wskazano, iż w rzeczywistości pracownica ta nie pracowała jako pracownik biurowy/sekretarka; mając na uwadze, że ze względu na nieprawidłowe informacje zawarte w umowie o pracę administracja Bundestagu miała błędnie uznać, iż warunki wypłaty dodatku zryczałtowanego na podstawie § 12 ust. 3 </w:t>
      </w:r>
      <w:proofErr w:type="spellStart"/>
      <w:r w:rsidRPr="008B73E2">
        <w:t>AbgG</w:t>
      </w:r>
      <w:proofErr w:type="spellEnd"/>
      <w:r w:rsidRPr="008B73E2">
        <w:t xml:space="preserve"> zostały spełnione, i w związku z tym zarządziła wypłatę wynagrodzenia (łącznie ok. 14 850 EUR) na rzecz członkini personelu; mając na uwadze, że zgodnie z wnioskiem okoliczności te były znane Petrowi </w:t>
      </w:r>
      <w:proofErr w:type="spellStart"/>
      <w:r w:rsidRPr="008B73E2">
        <w:t>Bystronowi</w:t>
      </w:r>
      <w:proofErr w:type="spellEnd"/>
      <w:r w:rsidRPr="008B73E2">
        <w:t>, w związku z czym jest on podejrzewany o umyślne złożenie nieprawdziwego oświadczenia;</w:t>
      </w:r>
    </w:p>
    <w:p w14:paraId="5870C486" w14:textId="77777777" w:rsidR="00DD0BBF" w:rsidRPr="008B73E2" w:rsidRDefault="00DD0BBF" w:rsidP="00DD0BBF">
      <w:pPr>
        <w:pStyle w:val="NormalHanging12a"/>
      </w:pPr>
      <w:r w:rsidRPr="008B73E2">
        <w:t>C.</w:t>
      </w:r>
      <w:r w:rsidRPr="008B73E2">
        <w:tab/>
        <w:t xml:space="preserve">mając na uwadze, że Petr </w:t>
      </w:r>
      <w:proofErr w:type="spellStart"/>
      <w:r w:rsidRPr="008B73E2">
        <w:t>Bystron</w:t>
      </w:r>
      <w:proofErr w:type="spellEnd"/>
      <w:r w:rsidRPr="008B73E2">
        <w:t xml:space="preserve"> został wybrany do Parlamentu Europejskiego w wyborach europejskich w czerwcu 2024 r. i w czasie popełniania zarzucanego czynu nie był posłem do Parlamentu Europejskiego;</w:t>
      </w:r>
    </w:p>
    <w:p w14:paraId="79302B82" w14:textId="77777777" w:rsidR="00DD0BBF" w:rsidRPr="008B73E2" w:rsidRDefault="00DD0BBF" w:rsidP="00DD0BBF">
      <w:pPr>
        <w:pStyle w:val="NormalHanging12a"/>
      </w:pPr>
      <w:r w:rsidRPr="008B73E2">
        <w:t>D.</w:t>
      </w:r>
      <w:r w:rsidRPr="008B73E2">
        <w:tab/>
        <w:t xml:space="preserve">mając na uwadze, że zarzucany czyn i późniejszy wniosek o uchylenie immunitetu nie dotyczą opinii wyrażonej przez Petra </w:t>
      </w:r>
      <w:proofErr w:type="spellStart"/>
      <w:r w:rsidRPr="008B73E2">
        <w:t>Bystrona</w:t>
      </w:r>
      <w:proofErr w:type="spellEnd"/>
      <w:r w:rsidRPr="008B73E2">
        <w:t xml:space="preserve"> ani stanowiska zajętego przez niego w głosowaniu w czasie wykonywania obowiązków służbowych w rozumieniu art. 8 Protokołu nr 7 w sprawie przywilejów i immunitetów Unii Europejskiej;</w:t>
      </w:r>
    </w:p>
    <w:p w14:paraId="48020A78" w14:textId="359674CC" w:rsidR="00DD0BBF" w:rsidRPr="008B73E2" w:rsidRDefault="00DD0BBF" w:rsidP="00DD0BBF">
      <w:pPr>
        <w:pStyle w:val="NormalHanging12a"/>
      </w:pPr>
      <w:r w:rsidRPr="008B73E2">
        <w:t>E.</w:t>
      </w:r>
      <w:r w:rsidRPr="008B73E2">
        <w:tab/>
        <w:t>mając na uwadze, że zgodnie z art. 9 akapit pierwszy lit. a) Protokołu nr 7 w sprawie przywilejów i immunitetów Unii Europejskiej podczas sesji Parlamentu Europejskiego posłowie do Parlamentu Europejskiego korzystają na terytorium swoich państw z immunitetów przyznawanych członkom parlamentu ich państwa</w:t>
      </w:r>
      <w:r w:rsidR="00DE39DD">
        <w:t xml:space="preserve"> członkowskiego</w:t>
      </w:r>
      <w:r w:rsidRPr="008B73E2">
        <w:t>;</w:t>
      </w:r>
    </w:p>
    <w:p w14:paraId="11587B55" w14:textId="77777777" w:rsidR="00DD0BBF" w:rsidRPr="008B73E2" w:rsidRDefault="00DD0BBF" w:rsidP="00DD0BBF">
      <w:pPr>
        <w:pStyle w:val="NormalHanging12a"/>
      </w:pPr>
      <w:r w:rsidRPr="008B73E2">
        <w:t>F.</w:t>
      </w:r>
      <w:r w:rsidRPr="008B73E2">
        <w:tab/>
        <w:t>mając na uwadze, że art. 46 ust. 2, 3 i 4 ustawy zasadniczej Republiki Federalnej Niemiec stanowi, co następuje:</w:t>
      </w:r>
    </w:p>
    <w:p w14:paraId="0A802846" w14:textId="77777777" w:rsidR="00DD0BBF" w:rsidRPr="008B73E2" w:rsidRDefault="00DD0BBF" w:rsidP="00DD0BBF">
      <w:pPr>
        <w:pStyle w:val="NormalHanging12a"/>
        <w:ind w:left="1134"/>
      </w:pPr>
      <w:r w:rsidRPr="008B73E2">
        <w:t xml:space="preserve">„(2) </w:t>
      </w:r>
      <w:r w:rsidRPr="008B73E2">
        <w:tab/>
        <w:t>Poseł nie może zostać pociągnięty do odpowiedzialności ani zatrzymany za czyn karalny bez zgody Bundestagu, chyba że zostanie ujęty w trakcie popełniania czynu lub w ciągu następnej doby.</w:t>
      </w:r>
    </w:p>
    <w:p w14:paraId="7195C857" w14:textId="77777777" w:rsidR="00DD0BBF" w:rsidRPr="008B73E2" w:rsidRDefault="00DD0BBF" w:rsidP="00DD0BBF">
      <w:pPr>
        <w:pStyle w:val="NormalHanging12a"/>
        <w:ind w:left="1134"/>
      </w:pPr>
      <w:r w:rsidRPr="008B73E2">
        <w:lastRenderedPageBreak/>
        <w:t xml:space="preserve">(3) </w:t>
      </w:r>
      <w:r w:rsidRPr="008B73E2">
        <w:tab/>
        <w:t>Zgoda Bundestagu wymagana jest również w celu jakiegokolwiek ograniczenia wolności osobistej posła lub w celu wszczęcia postępowania przeciwko posłowi na mocy art. 18.</w:t>
      </w:r>
    </w:p>
    <w:p w14:paraId="1A339351" w14:textId="77777777" w:rsidR="00DD0BBF" w:rsidRPr="008B73E2" w:rsidRDefault="00DD0BBF" w:rsidP="00DD0BBF">
      <w:pPr>
        <w:pStyle w:val="NormalHanging12a"/>
        <w:ind w:left="1134"/>
      </w:pPr>
      <w:r w:rsidRPr="008B73E2">
        <w:t xml:space="preserve">(4) </w:t>
      </w:r>
      <w:r w:rsidRPr="008B73E2">
        <w:tab/>
        <w:t>Na wniosek Bundestagu zostają zawieszone wszelkie postępowania karne przeciwko posłowi lub wszelkie postępowania na mocy art. 18 oraz wszelkie zatrzymania lub inne ograniczenia jego wolności osobistej”;</w:t>
      </w:r>
    </w:p>
    <w:p w14:paraId="47A73882" w14:textId="77777777" w:rsidR="00DD0BBF" w:rsidRPr="008B73E2" w:rsidRDefault="00DD0BBF" w:rsidP="00DD0BBF">
      <w:pPr>
        <w:pStyle w:val="NormalHanging12a"/>
      </w:pPr>
      <w:r w:rsidRPr="008B73E2">
        <w:t>G.</w:t>
      </w:r>
      <w:r w:rsidRPr="008B73E2">
        <w:tab/>
        <w:t>mając na uwadze, że immunitet, o którym mowa w protokole nr 7 w sprawie przywilejów i immunitetów Unii Europejskiej, ma chronić Parlament i posłów do niego przed postępowaniami sądowymi w związku z działaniami podejmowanymi w ramach wykonywania obowiązków parlamentarnych i niemożliwych do oddzielenia od tych obowiązków;</w:t>
      </w:r>
    </w:p>
    <w:p w14:paraId="752FA1E6" w14:textId="77777777" w:rsidR="00DD0BBF" w:rsidRPr="008B73E2" w:rsidRDefault="00DD0BBF" w:rsidP="00DD0BBF">
      <w:pPr>
        <w:pStyle w:val="NormalHanging12a"/>
      </w:pPr>
      <w:r w:rsidRPr="008B73E2">
        <w:t>H.</w:t>
      </w:r>
      <w:r w:rsidRPr="008B73E2">
        <w:tab/>
        <w:t>mając na uwadze, że zgodnie z art. 5 ust. 2 Regulaminu immunitet parlamentarny nie jest osobistym przywilejem posła, lecz gwarancją niezależności Parlamentu jako całości oraz jego posłów;</w:t>
      </w:r>
    </w:p>
    <w:p w14:paraId="3F62EA1E" w14:textId="77777777" w:rsidR="00DD0BBF" w:rsidRPr="008B73E2" w:rsidRDefault="00DD0BBF" w:rsidP="00DD0BBF">
      <w:pPr>
        <w:pStyle w:val="NormalHanging12a"/>
      </w:pPr>
      <w:r w:rsidRPr="008B73E2">
        <w:t>I.</w:t>
      </w:r>
      <w:r w:rsidRPr="008B73E2">
        <w:tab/>
        <w:t xml:space="preserve">mając na uwadze, że Parlament nie znalazł w tej sprawie dowodów wskazujących na zaistnienie </w:t>
      </w:r>
      <w:proofErr w:type="spellStart"/>
      <w:r w:rsidRPr="008B73E2">
        <w:rPr>
          <w:i/>
        </w:rPr>
        <w:t>fumus</w:t>
      </w:r>
      <w:proofErr w:type="spellEnd"/>
      <w:r w:rsidRPr="008B73E2">
        <w:rPr>
          <w:i/>
        </w:rPr>
        <w:t xml:space="preserve"> </w:t>
      </w:r>
      <w:proofErr w:type="spellStart"/>
      <w:r w:rsidRPr="008B73E2">
        <w:rPr>
          <w:i/>
        </w:rPr>
        <w:t>persecutionis</w:t>
      </w:r>
      <w:proofErr w:type="spellEnd"/>
      <w:r w:rsidRPr="008B73E2">
        <w:t>, czyli okoliczności wskazujących na leżący u podstaw postępowania sądowego zamiar zaszkodzenia działalności politycznej posła jako deputowanego do Parlamentu Europejskiego;</w:t>
      </w:r>
    </w:p>
    <w:p w14:paraId="50BC5A96" w14:textId="77777777" w:rsidR="00DD0BBF" w:rsidRPr="008B73E2" w:rsidRDefault="00DD0BBF" w:rsidP="00DD0BBF">
      <w:pPr>
        <w:pStyle w:val="NormalHanging12a"/>
      </w:pPr>
      <w:r w:rsidRPr="008B73E2">
        <w:t>J.</w:t>
      </w:r>
      <w:r w:rsidRPr="008B73E2">
        <w:tab/>
        <w:t>mając na uwadze, że w kontekście procedury uchylenia immunitetu Parlamentu nie można uznawać za sąd, a posła – za „oskarżonego”</w:t>
      </w:r>
      <w:r w:rsidRPr="008B73E2">
        <w:rPr>
          <w:vertAlign w:val="superscript"/>
        </w:rPr>
        <w:footnoteReference w:id="2"/>
      </w:r>
      <w:r w:rsidRPr="008B73E2">
        <w:t>;</w:t>
      </w:r>
    </w:p>
    <w:p w14:paraId="64EC1697" w14:textId="77777777" w:rsidR="00DD0BBF" w:rsidRPr="008B73E2" w:rsidRDefault="00DD0BBF" w:rsidP="00DD0BBF">
      <w:pPr>
        <w:pStyle w:val="NormalHanging12a"/>
      </w:pPr>
      <w:r w:rsidRPr="008B73E2">
        <w:t>1.</w:t>
      </w:r>
      <w:r w:rsidRPr="008B73E2">
        <w:tab/>
        <w:t xml:space="preserve">wydaje decyzję o uchyleniu immunitetu Petra </w:t>
      </w:r>
      <w:proofErr w:type="spellStart"/>
      <w:r w:rsidRPr="008B73E2">
        <w:t>Bystrona</w:t>
      </w:r>
      <w:proofErr w:type="spellEnd"/>
      <w:r w:rsidRPr="008B73E2">
        <w:t>;</w:t>
      </w:r>
    </w:p>
    <w:p w14:paraId="502B807D" w14:textId="476B2D0C" w:rsidR="008B73E2" w:rsidRPr="008B73E2" w:rsidRDefault="00DD0BBF" w:rsidP="008B73E2">
      <w:pPr>
        <w:pStyle w:val="NormalHanging12a"/>
      </w:pPr>
      <w:r w:rsidRPr="008B73E2">
        <w:t>2.</w:t>
      </w:r>
      <w:r w:rsidRPr="008B73E2">
        <w:tab/>
        <w:t xml:space="preserve">zobowiązuje swoją przewodniczącą do bezzwłocznego przekazania niniejszej decyzji i sprawozdania właściwej komisji właściwemu organowi Republiki Federalnej Niemiec oraz Petrowi </w:t>
      </w:r>
      <w:proofErr w:type="spellStart"/>
      <w:r w:rsidRPr="008B73E2">
        <w:t>Bystronowi</w:t>
      </w:r>
      <w:proofErr w:type="spellEnd"/>
      <w:r w:rsidRPr="008B73E2">
        <w:t>.</w:t>
      </w:r>
    </w:p>
    <w:sectPr w:rsidR="008B73E2" w:rsidRPr="008B73E2" w:rsidSect="008B73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F54DF" w14:textId="77777777" w:rsidR="00131341" w:rsidRPr="008B73E2" w:rsidRDefault="00131341">
      <w:r w:rsidRPr="008B73E2">
        <w:separator/>
      </w:r>
    </w:p>
  </w:endnote>
  <w:endnote w:type="continuationSeparator" w:id="0">
    <w:p w14:paraId="43F19505" w14:textId="77777777" w:rsidR="00131341" w:rsidRPr="008B73E2" w:rsidRDefault="00131341">
      <w:r w:rsidRPr="008B73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B1FEB" w14:textId="77777777" w:rsidR="00064002" w:rsidRPr="008B73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35ADF" w14:textId="77777777" w:rsidR="00064002" w:rsidRPr="008B73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B7227" w14:textId="77777777" w:rsidR="00064002" w:rsidRPr="008B73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740CD" w14:textId="77777777" w:rsidR="00131341" w:rsidRPr="008B73E2" w:rsidRDefault="00131341">
      <w:r w:rsidRPr="008B73E2">
        <w:separator/>
      </w:r>
    </w:p>
  </w:footnote>
  <w:footnote w:type="continuationSeparator" w:id="0">
    <w:p w14:paraId="1887C18C" w14:textId="77777777" w:rsidR="00131341" w:rsidRPr="008B73E2" w:rsidRDefault="00131341">
      <w:r w:rsidRPr="008B73E2">
        <w:continuationSeparator/>
      </w:r>
    </w:p>
  </w:footnote>
  <w:footnote w:id="1">
    <w:p w14:paraId="07083C2B" w14:textId="712452C4" w:rsidR="00DD0BBF" w:rsidRPr="008B73E2" w:rsidRDefault="00DD0BBF" w:rsidP="008B73E2">
      <w:pPr>
        <w:pStyle w:val="FootnoteText"/>
        <w:ind w:left="567" w:hanging="567"/>
        <w:rPr>
          <w:sz w:val="24"/>
          <w:lang w:val="pl-PL"/>
        </w:rPr>
      </w:pPr>
      <w:r w:rsidRPr="008B73E2">
        <w:rPr>
          <w:rStyle w:val="FootnoteReference"/>
          <w:sz w:val="24"/>
          <w:lang w:val="pl-PL"/>
        </w:rPr>
        <w:footnoteRef/>
      </w:r>
      <w:r w:rsidR="008B73E2" w:rsidRPr="008B73E2">
        <w:rPr>
          <w:sz w:val="24"/>
          <w:lang w:val="pl-PL"/>
        </w:rPr>
        <w:t xml:space="preserve"> </w:t>
      </w:r>
      <w:r w:rsidR="008B73E2" w:rsidRPr="008B73E2">
        <w:rPr>
          <w:sz w:val="24"/>
          <w:lang w:val="pl-PL"/>
        </w:rPr>
        <w:tab/>
      </w:r>
      <w:r w:rsidRPr="008B73E2">
        <w:rPr>
          <w:sz w:val="24"/>
          <w:lang w:val="pl-PL"/>
        </w:rPr>
        <w:t xml:space="preserve">Wyrok Trybunału Sprawiedliwości z dnia 21 października 2008 r., </w:t>
      </w:r>
      <w:proofErr w:type="spellStart"/>
      <w:r w:rsidRPr="008B73E2">
        <w:rPr>
          <w:sz w:val="24"/>
          <w:lang w:val="pl-PL"/>
        </w:rPr>
        <w:t>Marra</w:t>
      </w:r>
      <w:proofErr w:type="spellEnd"/>
      <w:r w:rsidRPr="008B73E2">
        <w:rPr>
          <w:sz w:val="24"/>
          <w:lang w:val="pl-PL"/>
        </w:rPr>
        <w:t xml:space="preserve">/De </w:t>
      </w:r>
      <w:proofErr w:type="spellStart"/>
      <w:r w:rsidRPr="008B73E2">
        <w:rPr>
          <w:sz w:val="24"/>
          <w:lang w:val="pl-PL"/>
        </w:rPr>
        <w:t>Gregorio</w:t>
      </w:r>
      <w:proofErr w:type="spellEnd"/>
      <w:r w:rsidRPr="008B73E2">
        <w:rPr>
          <w:sz w:val="24"/>
          <w:lang w:val="pl-PL"/>
        </w:rPr>
        <w:t xml:space="preserve"> i </w:t>
      </w:r>
      <w:proofErr w:type="spellStart"/>
      <w:r w:rsidRPr="008B73E2">
        <w:rPr>
          <w:sz w:val="24"/>
          <w:lang w:val="pl-PL"/>
        </w:rPr>
        <w:t>Clemente</w:t>
      </w:r>
      <w:proofErr w:type="spellEnd"/>
      <w:r w:rsidRPr="008B73E2">
        <w:rPr>
          <w:sz w:val="24"/>
          <w:lang w:val="pl-PL"/>
        </w:rPr>
        <w:t xml:space="preserve">, C-200/07 i C-201/07, ECLI:EU:C:2008:579; wyrok Sądu z dnia 19 marca 2010 r., </w:t>
      </w:r>
      <w:proofErr w:type="spellStart"/>
      <w:r w:rsidRPr="008B73E2">
        <w:rPr>
          <w:sz w:val="24"/>
          <w:lang w:val="pl-PL"/>
        </w:rPr>
        <w:t>Gollnisch</w:t>
      </w:r>
      <w:proofErr w:type="spellEnd"/>
      <w:r w:rsidRPr="008B73E2">
        <w:rPr>
          <w:sz w:val="24"/>
          <w:lang w:val="pl-PL"/>
        </w:rPr>
        <w:t xml:space="preserve">/Parlament, T-42/06, ECLI:EU:T:2010:102; wyrok Trybunału Sprawiedliwości z dnia 6 września 2011 r., </w:t>
      </w:r>
      <w:proofErr w:type="spellStart"/>
      <w:r w:rsidRPr="008B73E2">
        <w:rPr>
          <w:sz w:val="24"/>
          <w:lang w:val="pl-PL"/>
        </w:rPr>
        <w:t>Patriciello</w:t>
      </w:r>
      <w:proofErr w:type="spellEnd"/>
      <w:r w:rsidRPr="008B73E2">
        <w:rPr>
          <w:sz w:val="24"/>
          <w:lang w:val="pl-PL"/>
        </w:rPr>
        <w:t xml:space="preserve">, C-163/10, ECLI: EU:C:2011:543; wyrok Sądu z dnia 17 stycznia 2013 r., </w:t>
      </w:r>
      <w:proofErr w:type="spellStart"/>
      <w:r w:rsidRPr="008B73E2">
        <w:rPr>
          <w:sz w:val="24"/>
          <w:lang w:val="pl-PL"/>
        </w:rPr>
        <w:t>Gollnisch</w:t>
      </w:r>
      <w:proofErr w:type="spellEnd"/>
      <w:r w:rsidRPr="008B73E2">
        <w:rPr>
          <w:sz w:val="24"/>
          <w:lang w:val="pl-PL"/>
        </w:rPr>
        <w:t xml:space="preserve">/Parlament, T-346/11 i T-347/11, ECLI:EU:T:2013:23; wyrok Trybunału Sprawiedliwości z dnia 19 grudnia 2019 r., </w:t>
      </w:r>
      <w:proofErr w:type="spellStart"/>
      <w:r w:rsidRPr="008B73E2">
        <w:rPr>
          <w:sz w:val="24"/>
          <w:lang w:val="pl-PL"/>
        </w:rPr>
        <w:t>Junqueras</w:t>
      </w:r>
      <w:proofErr w:type="spellEnd"/>
      <w:r w:rsidRPr="008B73E2">
        <w:rPr>
          <w:sz w:val="24"/>
          <w:lang w:val="pl-PL"/>
        </w:rPr>
        <w:t xml:space="preserve"> </w:t>
      </w:r>
      <w:proofErr w:type="spellStart"/>
      <w:r w:rsidRPr="008B73E2">
        <w:rPr>
          <w:sz w:val="24"/>
          <w:lang w:val="pl-PL"/>
        </w:rPr>
        <w:t>Vies</w:t>
      </w:r>
      <w:proofErr w:type="spellEnd"/>
      <w:r w:rsidRPr="008B73E2">
        <w:rPr>
          <w:sz w:val="24"/>
          <w:lang w:val="pl-PL"/>
        </w:rPr>
        <w:t xml:space="preserve">, C-502/19, ECLI:EU:C:2019:1115; wyrok Sądu z 5 lipca 2023 r., </w:t>
      </w:r>
      <w:proofErr w:type="spellStart"/>
      <w:r w:rsidRPr="008B73E2">
        <w:rPr>
          <w:sz w:val="24"/>
          <w:lang w:val="pl-PL"/>
        </w:rPr>
        <w:t>Puigdemont</w:t>
      </w:r>
      <w:proofErr w:type="spellEnd"/>
      <w:r w:rsidRPr="008B73E2">
        <w:rPr>
          <w:sz w:val="24"/>
          <w:lang w:val="pl-PL"/>
        </w:rPr>
        <w:t xml:space="preserve"> i </w:t>
      </w:r>
      <w:proofErr w:type="spellStart"/>
      <w:r w:rsidRPr="008B73E2">
        <w:rPr>
          <w:sz w:val="24"/>
          <w:lang w:val="pl-PL"/>
        </w:rPr>
        <w:t>Casamajó</w:t>
      </w:r>
      <w:proofErr w:type="spellEnd"/>
      <w:r w:rsidRPr="008B73E2">
        <w:rPr>
          <w:sz w:val="24"/>
          <w:lang w:val="pl-PL"/>
        </w:rPr>
        <w:t xml:space="preserve"> i in./Parlament, T-272/21, ECLI:EU:T:2023:373.</w:t>
      </w:r>
    </w:p>
  </w:footnote>
  <w:footnote w:id="2">
    <w:p w14:paraId="61F8F464" w14:textId="1644DC91" w:rsidR="00DD0BBF" w:rsidRPr="008B73E2" w:rsidRDefault="00DD0BBF" w:rsidP="008B73E2">
      <w:pPr>
        <w:pStyle w:val="FootnoteText"/>
        <w:ind w:left="567" w:hanging="567"/>
        <w:rPr>
          <w:sz w:val="24"/>
          <w:lang w:val="pl-PL"/>
        </w:rPr>
      </w:pPr>
      <w:r w:rsidRPr="008B73E2">
        <w:rPr>
          <w:rStyle w:val="FootnoteReference"/>
          <w:sz w:val="24"/>
          <w:lang w:val="pl-PL"/>
        </w:rPr>
        <w:footnoteRef/>
      </w:r>
      <w:r w:rsidR="008B73E2" w:rsidRPr="008B73E2">
        <w:rPr>
          <w:sz w:val="24"/>
          <w:lang w:val="pl-PL"/>
        </w:rPr>
        <w:t xml:space="preserve"> </w:t>
      </w:r>
      <w:r w:rsidR="008B73E2" w:rsidRPr="008B73E2">
        <w:rPr>
          <w:sz w:val="24"/>
          <w:lang w:val="pl-PL"/>
        </w:rPr>
        <w:tab/>
      </w:r>
      <w:r w:rsidRPr="008B73E2">
        <w:rPr>
          <w:sz w:val="24"/>
          <w:lang w:val="pl-PL"/>
        </w:rPr>
        <w:t xml:space="preserve">Wyrok Sądu z dnia 30 kwietnia 2019 r., </w:t>
      </w:r>
      <w:proofErr w:type="spellStart"/>
      <w:r w:rsidRPr="008B73E2">
        <w:rPr>
          <w:sz w:val="24"/>
          <w:lang w:val="pl-PL"/>
        </w:rPr>
        <w:t>Briois</w:t>
      </w:r>
      <w:proofErr w:type="spellEnd"/>
      <w:r w:rsidRPr="008B73E2">
        <w:rPr>
          <w:sz w:val="24"/>
          <w:lang w:val="pl-PL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C7F0F" w14:textId="77777777" w:rsidR="00064002" w:rsidRPr="008B73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B5A5F" w14:textId="77777777" w:rsidR="00064002" w:rsidRPr="008B73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A63B8" w14:textId="77777777" w:rsidR="00064002" w:rsidRPr="008B73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078883">
    <w:abstractNumId w:val="9"/>
  </w:num>
  <w:num w:numId="2" w16cid:durableId="1444036110">
    <w:abstractNumId w:val="9"/>
  </w:num>
  <w:num w:numId="3" w16cid:durableId="433745885">
    <w:abstractNumId w:val="7"/>
  </w:num>
  <w:num w:numId="4" w16cid:durableId="1754736120">
    <w:abstractNumId w:val="7"/>
  </w:num>
  <w:num w:numId="5" w16cid:durableId="1860854663">
    <w:abstractNumId w:val="6"/>
  </w:num>
  <w:num w:numId="6" w16cid:durableId="1355497954">
    <w:abstractNumId w:val="6"/>
  </w:num>
  <w:num w:numId="7" w16cid:durableId="507326637">
    <w:abstractNumId w:val="5"/>
  </w:num>
  <w:num w:numId="8" w16cid:durableId="1595672689">
    <w:abstractNumId w:val="5"/>
  </w:num>
  <w:num w:numId="9" w16cid:durableId="1433163723">
    <w:abstractNumId w:val="4"/>
  </w:num>
  <w:num w:numId="10" w16cid:durableId="1177891199">
    <w:abstractNumId w:val="4"/>
  </w:num>
  <w:num w:numId="11" w16cid:durableId="698628675">
    <w:abstractNumId w:val="8"/>
  </w:num>
  <w:num w:numId="12" w16cid:durableId="1547140507">
    <w:abstractNumId w:val="8"/>
  </w:num>
  <w:num w:numId="13" w16cid:durableId="185490081">
    <w:abstractNumId w:val="3"/>
  </w:num>
  <w:num w:numId="14" w16cid:durableId="1319579927">
    <w:abstractNumId w:val="3"/>
  </w:num>
  <w:num w:numId="15" w16cid:durableId="377706575">
    <w:abstractNumId w:val="2"/>
  </w:num>
  <w:num w:numId="16" w16cid:durableId="1370177971">
    <w:abstractNumId w:val="2"/>
  </w:num>
  <w:num w:numId="17" w16cid:durableId="1389769001">
    <w:abstractNumId w:val="1"/>
  </w:num>
  <w:num w:numId="18" w16cid:durableId="1291666941">
    <w:abstractNumId w:val="1"/>
  </w:num>
  <w:num w:numId="19" w16cid:durableId="1341422412">
    <w:abstractNumId w:val="0"/>
  </w:num>
  <w:num w:numId="20" w16cid:durableId="397018729">
    <w:abstractNumId w:val="0"/>
  </w:num>
  <w:num w:numId="21" w16cid:durableId="1704399965">
    <w:abstractNumId w:val="9"/>
  </w:num>
  <w:num w:numId="22" w16cid:durableId="1349722819">
    <w:abstractNumId w:val="7"/>
  </w:num>
  <w:num w:numId="23" w16cid:durableId="1342316501">
    <w:abstractNumId w:val="6"/>
  </w:num>
  <w:num w:numId="24" w16cid:durableId="1840734320">
    <w:abstractNumId w:val="5"/>
  </w:num>
  <w:num w:numId="25" w16cid:durableId="982545833">
    <w:abstractNumId w:val="4"/>
  </w:num>
  <w:num w:numId="26" w16cid:durableId="1298023864">
    <w:abstractNumId w:val="8"/>
  </w:num>
  <w:num w:numId="27" w16cid:durableId="2065253488">
    <w:abstractNumId w:val="3"/>
  </w:num>
  <w:num w:numId="28" w16cid:durableId="694235551">
    <w:abstractNumId w:val="2"/>
  </w:num>
  <w:num w:numId="29" w16cid:durableId="1692951581">
    <w:abstractNumId w:val="1"/>
  </w:num>
  <w:num w:numId="30" w16cid:durableId="859733770">
    <w:abstractNumId w:val="0"/>
  </w:num>
  <w:num w:numId="31" w16cid:durableId="2036999806">
    <w:abstractNumId w:val="9"/>
  </w:num>
  <w:num w:numId="32" w16cid:durableId="45683218">
    <w:abstractNumId w:val="7"/>
  </w:num>
  <w:num w:numId="33" w16cid:durableId="327439169">
    <w:abstractNumId w:val="6"/>
  </w:num>
  <w:num w:numId="34" w16cid:durableId="1408384548">
    <w:abstractNumId w:val="5"/>
  </w:num>
  <w:num w:numId="35" w16cid:durableId="1324040542">
    <w:abstractNumId w:val="4"/>
  </w:num>
  <w:num w:numId="36" w16cid:durableId="601647878">
    <w:abstractNumId w:val="8"/>
  </w:num>
  <w:num w:numId="37" w16cid:durableId="1143892344">
    <w:abstractNumId w:val="3"/>
  </w:num>
  <w:num w:numId="38" w16cid:durableId="30812423">
    <w:abstractNumId w:val="2"/>
  </w:num>
  <w:num w:numId="39" w16cid:durableId="1084766326">
    <w:abstractNumId w:val="1"/>
  </w:num>
  <w:num w:numId="40" w16cid:durableId="1965188210">
    <w:abstractNumId w:val="0"/>
  </w:num>
  <w:num w:numId="41" w16cid:durableId="1059859223">
    <w:abstractNumId w:val="10"/>
  </w:num>
  <w:num w:numId="42" w16cid:durableId="1020856108">
    <w:abstractNumId w:val="10"/>
  </w:num>
  <w:num w:numId="43" w16cid:durableId="1573002364">
    <w:abstractNumId w:val="10"/>
  </w:num>
  <w:num w:numId="44" w16cid:durableId="9057953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9/2026"/>
    <w:docVar w:name="dvlangue" w:val="PL"/>
    <w:docVar w:name="dvnumam" w:val="0"/>
    <w:docVar w:name="dvpe" w:val="781.254"/>
    <w:docVar w:name="dvrapporteur" w:val="Sprawozdawca: "/>
    <w:docVar w:name="dvtitre" w:val="Decyzja Parlamentu Europejskiego z dnia  2026 r. w sprawie wniosku o uchylenie immunitetu Petra Bystrona(2025/2077(IMM))"/>
  </w:docVars>
  <w:rsids>
    <w:rsidRoot w:val="00131341"/>
    <w:rsid w:val="00002272"/>
    <w:rsid w:val="00064002"/>
    <w:rsid w:val="000677B9"/>
    <w:rsid w:val="000831BA"/>
    <w:rsid w:val="000A42CC"/>
    <w:rsid w:val="000E7DD9"/>
    <w:rsid w:val="0010095E"/>
    <w:rsid w:val="00125B37"/>
    <w:rsid w:val="00131341"/>
    <w:rsid w:val="00186761"/>
    <w:rsid w:val="00187494"/>
    <w:rsid w:val="001F32AE"/>
    <w:rsid w:val="00217C7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73E2"/>
    <w:rsid w:val="008C2AC6"/>
    <w:rsid w:val="00927E33"/>
    <w:rsid w:val="00930C23"/>
    <w:rsid w:val="0093193B"/>
    <w:rsid w:val="009509D8"/>
    <w:rsid w:val="00950B64"/>
    <w:rsid w:val="00981893"/>
    <w:rsid w:val="00A1687D"/>
    <w:rsid w:val="00A26D4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4F0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0BBF"/>
    <w:rsid w:val="00DE39D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E78B6"/>
  <w15:chartTrackingRefBased/>
  <w15:docId w15:val="{0C0C5A3D-D68A-4D26-A374-7E59987BE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D0BB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Hanging12a">
    <w:name w:val="NormalHanging12a"/>
    <w:basedOn w:val="Normal"/>
    <w:rsid w:val="00DD0BB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D0B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D0BBF"/>
    <w:rPr>
      <w:sz w:val="24"/>
      <w:lang w:val="pl-PL"/>
    </w:rPr>
  </w:style>
  <w:style w:type="paragraph" w:customStyle="1" w:styleId="EPFooter">
    <w:name w:val="EPFooter"/>
    <w:basedOn w:val="Normal"/>
    <w:rsid w:val="00DD0BB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D0BBF"/>
    <w:pPr>
      <w:spacing w:before="480" w:after="240"/>
    </w:pPr>
  </w:style>
  <w:style w:type="paragraph" w:styleId="Revision">
    <w:name w:val="Revision"/>
    <w:hidden/>
    <w:uiPriority w:val="99"/>
    <w:semiHidden/>
    <w:rsid w:val="00B64F0D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836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2026-02-10T12:59:00Z</dcterms:created>
  <dcterms:modified xsi:type="dcterms:W3CDTF">2026-02-10T12:59:00Z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A10-0009/2026</vt:lpwstr>
  </property>
  <property fmtid="{D5CDD505-2E9C-101B-9397-08002B2CF9AE}" pid="4" name="&lt;Type&gt;">
    <vt:lpwstr>RR</vt:lpwstr>
  </property>
</Properties>
</file>