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1602" w14:paraId="305E1B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E1CF64" w14:textId="77777777" w:rsidR="00751A4A" w:rsidRPr="00AE1602" w:rsidRDefault="004D1D2D" w:rsidP="0010095E">
            <w:pPr>
              <w:pStyle w:val="EPName"/>
            </w:pPr>
            <w:r w:rsidRPr="00AE1602">
              <w:t xml:space="preserve">Parlamento </w:t>
            </w:r>
            <w:proofErr w:type="gramStart"/>
            <w:r w:rsidRPr="00AE1602">
              <w:t>Europeu</w:t>
            </w:r>
            <w:proofErr w:type="gramEnd"/>
          </w:p>
          <w:p w14:paraId="78DDEB91" w14:textId="77777777" w:rsidR="00751A4A" w:rsidRPr="00AE16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1602">
              <w:t>2024</w:t>
            </w:r>
            <w:r w:rsidR="00817416" w:rsidRPr="00AE1602">
              <w:t>-202</w:t>
            </w:r>
            <w:r w:rsidRPr="00AE1602">
              <w:t>9</w:t>
            </w:r>
          </w:p>
        </w:tc>
        <w:tc>
          <w:tcPr>
            <w:tcW w:w="2268" w:type="dxa"/>
            <w:shd w:val="clear" w:color="auto" w:fill="auto"/>
          </w:tcPr>
          <w:p w14:paraId="74A31B60" w14:textId="77777777" w:rsidR="00751A4A" w:rsidRPr="00AE1602" w:rsidRDefault="00187494" w:rsidP="0010095E">
            <w:pPr>
              <w:pStyle w:val="EPLogo"/>
            </w:pPr>
            <w:r w:rsidRPr="00AE1602">
              <w:rPr>
                <w:noProof/>
                <w:lang w:eastAsia="ja-JP"/>
              </w:rPr>
              <w:drawing>
                <wp:inline distT="0" distB="0" distL="0" distR="0" wp14:anchorId="5EFCFAF5" wp14:editId="2A3485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61214B" w14:textId="77777777" w:rsidR="00D058B8" w:rsidRPr="00AE1602" w:rsidRDefault="00D058B8" w:rsidP="004C5D52">
      <w:pPr>
        <w:pStyle w:val="LineTop"/>
      </w:pPr>
    </w:p>
    <w:p w14:paraId="1A4712D0" w14:textId="77777777" w:rsidR="00680577" w:rsidRPr="00AE1602" w:rsidRDefault="004D1D2D" w:rsidP="00680577">
      <w:pPr>
        <w:pStyle w:val="EPBodyTA1"/>
      </w:pPr>
      <w:r w:rsidRPr="00AE1602">
        <w:t>TEXTOS APROVADOS</w:t>
      </w:r>
    </w:p>
    <w:p w14:paraId="33A983DD" w14:textId="77777777" w:rsidR="00D058B8" w:rsidRPr="00AE1602" w:rsidRDefault="00D058B8" w:rsidP="00D058B8">
      <w:pPr>
        <w:pStyle w:val="LineBottom"/>
      </w:pPr>
    </w:p>
    <w:p w14:paraId="09348802" w14:textId="5C15DE65" w:rsidR="004D1D2D" w:rsidRPr="00AE1602" w:rsidRDefault="004D1D2D" w:rsidP="004D1D2D">
      <w:pPr>
        <w:pStyle w:val="ATHeading1"/>
      </w:pPr>
      <w:bookmarkStart w:id="0" w:name="TANumber"/>
      <w:r w:rsidRPr="00AE1602">
        <w:t>P10_</w:t>
      </w:r>
      <w:proofErr w:type="gramStart"/>
      <w:r w:rsidRPr="00AE1602">
        <w:t>TA(</w:t>
      </w:r>
      <w:proofErr w:type="gramEnd"/>
      <w:r w:rsidRPr="00AE1602">
        <w:t>2026)</w:t>
      </w:r>
      <w:bookmarkEnd w:id="0"/>
      <w:r w:rsidR="00AE1602" w:rsidRPr="00AE1602">
        <w:t>00</w:t>
      </w:r>
      <w:r w:rsidR="00AE1602" w:rsidRPr="00AE1602">
        <w:t>27</w:t>
      </w:r>
    </w:p>
    <w:p w14:paraId="3F527C95" w14:textId="77777777" w:rsidR="004D1D2D" w:rsidRPr="00AE1602" w:rsidRDefault="004D1D2D" w:rsidP="004D1D2D">
      <w:pPr>
        <w:pStyle w:val="ATHeading2"/>
      </w:pPr>
      <w:bookmarkStart w:id="1" w:name="title"/>
      <w:r w:rsidRPr="00AE1602">
        <w:t xml:space="preserve">Pedido de levantamento da imunidade de Petr </w:t>
      </w:r>
      <w:proofErr w:type="spellStart"/>
      <w:r w:rsidRPr="00AE1602">
        <w:t>Bystron</w:t>
      </w:r>
      <w:bookmarkEnd w:id="1"/>
      <w:proofErr w:type="spellEnd"/>
    </w:p>
    <w:p w14:paraId="5A824162" w14:textId="77777777" w:rsidR="004D1D2D" w:rsidRPr="00AE1602" w:rsidRDefault="004D1D2D" w:rsidP="004D1D2D">
      <w:pPr>
        <w:rPr>
          <w:i/>
          <w:vanish/>
        </w:rPr>
      </w:pPr>
      <w:r w:rsidRPr="00AE1602">
        <w:rPr>
          <w:i/>
        </w:rPr>
        <w:fldChar w:fldCharType="begin"/>
      </w:r>
      <w:r w:rsidRPr="00AE1602">
        <w:rPr>
          <w:i/>
        </w:rPr>
        <w:instrText xml:space="preserve"> TC"(</w:instrText>
      </w:r>
      <w:bookmarkStart w:id="2" w:name="DocNumber"/>
      <w:r w:rsidRPr="00AE1602">
        <w:rPr>
          <w:i/>
        </w:rPr>
        <w:instrText>A10-0009/2026</w:instrText>
      </w:r>
      <w:bookmarkEnd w:id="2"/>
      <w:r w:rsidRPr="00AE1602">
        <w:rPr>
          <w:i/>
        </w:rPr>
        <w:instrText xml:space="preserve"> - Relator: Adrián Vázquez Lázara)"\l3 \n&gt; \* MERGEFORMAT </w:instrText>
      </w:r>
      <w:r w:rsidRPr="00AE1602">
        <w:rPr>
          <w:i/>
        </w:rPr>
        <w:fldChar w:fldCharType="end"/>
      </w:r>
    </w:p>
    <w:p w14:paraId="521343F6" w14:textId="77777777" w:rsidR="004D1D2D" w:rsidRPr="00AE1602" w:rsidRDefault="004D1D2D" w:rsidP="004D1D2D">
      <w:pPr>
        <w:rPr>
          <w:vanish/>
        </w:rPr>
      </w:pPr>
      <w:bookmarkStart w:id="3" w:name="Commission"/>
      <w:r w:rsidRPr="00AE1602">
        <w:rPr>
          <w:vanish/>
        </w:rPr>
        <w:t>Comissão dos Assuntos Jurídicos</w:t>
      </w:r>
      <w:bookmarkEnd w:id="3"/>
    </w:p>
    <w:p w14:paraId="48231BC5" w14:textId="77777777" w:rsidR="004D1D2D" w:rsidRPr="00AE1602" w:rsidRDefault="004D1D2D" w:rsidP="004D1D2D">
      <w:pPr>
        <w:rPr>
          <w:vanish/>
        </w:rPr>
      </w:pPr>
      <w:bookmarkStart w:id="4" w:name="PE"/>
      <w:r w:rsidRPr="00AE1602">
        <w:rPr>
          <w:vanish/>
        </w:rPr>
        <w:t>PE781.254</w:t>
      </w:r>
      <w:bookmarkEnd w:id="4"/>
    </w:p>
    <w:p w14:paraId="752BB3B2" w14:textId="304F06DF" w:rsidR="004D1D2D" w:rsidRPr="00AE1602" w:rsidRDefault="004D1D2D" w:rsidP="004D1D2D">
      <w:pPr>
        <w:pStyle w:val="ATHeading3"/>
      </w:pPr>
      <w:bookmarkStart w:id="5" w:name="Sujet"/>
      <w:r w:rsidRPr="00AE1602">
        <w:t xml:space="preserve">Decisão do Parlamento Europeu, de </w:t>
      </w:r>
      <w:r w:rsidR="000955B0" w:rsidRPr="00AE1602">
        <w:t xml:space="preserve">10 </w:t>
      </w:r>
      <w:r w:rsidRPr="00AE1602">
        <w:t xml:space="preserve">de </w:t>
      </w:r>
      <w:r w:rsidR="000955B0" w:rsidRPr="00AE1602">
        <w:t xml:space="preserve">fevereiro </w:t>
      </w:r>
      <w:r w:rsidRPr="00AE1602">
        <w:t xml:space="preserve">de 2026, sobre o pedido de levantamento da imunidade de Petr </w:t>
      </w:r>
      <w:proofErr w:type="spellStart"/>
      <w:r w:rsidRPr="00AE1602">
        <w:t>Bystron</w:t>
      </w:r>
      <w:bookmarkEnd w:id="5"/>
      <w:proofErr w:type="spellEnd"/>
      <w:r w:rsidRPr="00AE1602">
        <w:t xml:space="preserve"> </w:t>
      </w:r>
      <w:bookmarkStart w:id="6" w:name="References"/>
      <w:r w:rsidRPr="00AE1602">
        <w:t>(2025/2077(IMM))</w:t>
      </w:r>
      <w:bookmarkEnd w:id="6"/>
    </w:p>
    <w:p w14:paraId="6040BD74" w14:textId="77777777" w:rsidR="00BD3A60" w:rsidRPr="00AE1602" w:rsidRDefault="00BD3A60" w:rsidP="00BD3A60">
      <w:pPr>
        <w:pStyle w:val="EPComma"/>
      </w:pPr>
      <w:bookmarkStart w:id="7" w:name="TextBodyBegin"/>
      <w:bookmarkEnd w:id="7"/>
      <w:r w:rsidRPr="00AE1602">
        <w:rPr>
          <w:i/>
          <w:iCs/>
        </w:rPr>
        <w:t>O Parlamento Europeu,</w:t>
      </w:r>
    </w:p>
    <w:p w14:paraId="2EB0E6DB" w14:textId="0EC1E990" w:rsidR="00BD3A60" w:rsidRPr="00AE1602" w:rsidRDefault="00BD3A60" w:rsidP="00BD3A60">
      <w:pPr>
        <w:pStyle w:val="NormalHanging12a"/>
      </w:pPr>
      <w:r w:rsidRPr="00AE1602">
        <w:t>–</w:t>
      </w:r>
      <w:r w:rsidRPr="00AE1602">
        <w:tab/>
        <w:t xml:space="preserve">Tendo recebido um pedido de levantamento da imunidade de Petr </w:t>
      </w:r>
      <w:proofErr w:type="spellStart"/>
      <w:r w:rsidRPr="00AE1602">
        <w:t>Bystron</w:t>
      </w:r>
      <w:proofErr w:type="spellEnd"/>
      <w:r w:rsidRPr="00AE1602">
        <w:t xml:space="preserve">, </w:t>
      </w:r>
      <w:r w:rsidR="001F0F05" w:rsidRPr="00AE1602">
        <w:t xml:space="preserve">recebido </w:t>
      </w:r>
      <w:r w:rsidRPr="00AE1602">
        <w:t>por carta do Ministério Federal da Justiça alemão</w:t>
      </w:r>
      <w:r w:rsidR="001F0F05" w:rsidRPr="00AE1602">
        <w:t xml:space="preserve"> de 24 de outubro de 2024</w:t>
      </w:r>
      <w:r w:rsidRPr="00AE1602">
        <w:t>, que transmitiu um pedido da Procuradoria</w:t>
      </w:r>
      <w:r w:rsidRPr="00AE1602">
        <w:noBreakHyphen/>
        <w:t xml:space="preserve">Geral de Munique, no âmbito de uma ação penal intentada contra Petr </w:t>
      </w:r>
      <w:proofErr w:type="spellStart"/>
      <w:r w:rsidRPr="00AE1602">
        <w:t>Bystron</w:t>
      </w:r>
      <w:proofErr w:type="spellEnd"/>
      <w:r w:rsidRPr="00AE1602">
        <w:t>, o qual foi comunicado em sessão plenária em 3 de abril de 2025,</w:t>
      </w:r>
    </w:p>
    <w:p w14:paraId="53951F9F" w14:textId="77777777" w:rsidR="00BD3A60" w:rsidRPr="00AE1602" w:rsidRDefault="00BD3A60" w:rsidP="00BD3A60">
      <w:pPr>
        <w:pStyle w:val="NormalHanging12a"/>
      </w:pPr>
      <w:r w:rsidRPr="00AE1602">
        <w:t>–</w:t>
      </w:r>
      <w:r w:rsidRPr="00AE1602">
        <w:tab/>
        <w:t xml:space="preserve">Tendo em conta que Petr </w:t>
      </w:r>
      <w:proofErr w:type="spellStart"/>
      <w:r w:rsidRPr="00AE1602">
        <w:t>Bystron</w:t>
      </w:r>
      <w:proofErr w:type="spellEnd"/>
      <w:r w:rsidRPr="00AE1602">
        <w:t xml:space="preserve"> renunciou ao seu direito de audição nos termos do artigo 9.º, n.º 6 do seu Regimento,</w:t>
      </w:r>
    </w:p>
    <w:p w14:paraId="1AEAFC38" w14:textId="77777777" w:rsidR="00BD3A60" w:rsidRPr="00AE1602" w:rsidRDefault="00BD3A60" w:rsidP="00BD3A60">
      <w:pPr>
        <w:pStyle w:val="NormalHanging12a"/>
      </w:pPr>
      <w:r w:rsidRPr="00AE1602">
        <w:t>–</w:t>
      </w:r>
      <w:r w:rsidRPr="00AE1602">
        <w:tab/>
        <w:t>Tendo em conta os artigos 8.º e 9.º do Protocolo n.º 7 relativo aos Privilégios e Imunidades da União Europeia, bem como o artigo 6.º, n.º 2, do Ato relativo à Eleição dos Deputados ao Parlamento Europeu por Sufrágio Universal Direto, de 20 de setembro de 1976,</w:t>
      </w:r>
    </w:p>
    <w:p w14:paraId="43DAA192" w14:textId="77777777" w:rsidR="00BD3A60" w:rsidRPr="00AE1602" w:rsidRDefault="00BD3A60" w:rsidP="00BD3A60">
      <w:pPr>
        <w:pStyle w:val="NormalHanging12a"/>
      </w:pPr>
      <w:r w:rsidRPr="00AE1602">
        <w:t>–</w:t>
      </w:r>
      <w:r w:rsidRPr="00AE1602">
        <w:tab/>
        <w:t>Tendo em conta os Acórdãos proferidos pelo Tribunal de Justiça da União Europeia em 21 de outubro de 2008, 19 de março de 2010, 6 de setembro de 2011, 17 de janeiro de 2013, 19 de dezembro de 2019 e 5 de julho de 2023</w:t>
      </w:r>
      <w:r w:rsidRPr="00AE1602">
        <w:rPr>
          <w:vertAlign w:val="superscript"/>
        </w:rPr>
        <w:footnoteReference w:id="1"/>
      </w:r>
      <w:r w:rsidRPr="00AE1602">
        <w:t>,</w:t>
      </w:r>
    </w:p>
    <w:p w14:paraId="357544D7" w14:textId="77777777" w:rsidR="00BD3A60" w:rsidRPr="00AE1602" w:rsidRDefault="00BD3A60" w:rsidP="00BD3A60">
      <w:pPr>
        <w:pStyle w:val="NormalHanging12a"/>
      </w:pPr>
      <w:r w:rsidRPr="00AE1602">
        <w:t>–</w:t>
      </w:r>
      <w:r w:rsidRPr="00AE1602">
        <w:tab/>
        <w:t>Tendo em conta o artigo 46.º da Lei Fundamental da República Federal da Alemanha,</w:t>
      </w:r>
    </w:p>
    <w:p w14:paraId="6EDECE09" w14:textId="77777777" w:rsidR="00BD3A60" w:rsidRPr="00AE1602" w:rsidRDefault="00BD3A60" w:rsidP="00BD3A60">
      <w:pPr>
        <w:pStyle w:val="NormalHanging12a"/>
      </w:pPr>
      <w:r w:rsidRPr="00AE1602">
        <w:lastRenderedPageBreak/>
        <w:t>–</w:t>
      </w:r>
      <w:r w:rsidRPr="00AE1602">
        <w:tab/>
        <w:t>Tendo em conta o artigo 5.º, n.º 2, o artigo 6.º, n.º 1, e o artigo 9.º do seu Regimento,</w:t>
      </w:r>
    </w:p>
    <w:p w14:paraId="7493189E" w14:textId="77777777" w:rsidR="00BD3A60" w:rsidRPr="00AE1602" w:rsidRDefault="00BD3A60" w:rsidP="00BD3A60">
      <w:pPr>
        <w:pStyle w:val="NormalHanging12a"/>
      </w:pPr>
      <w:r w:rsidRPr="00AE1602">
        <w:t>–</w:t>
      </w:r>
      <w:r w:rsidRPr="00AE1602">
        <w:tab/>
        <w:t>Tendo em conta o relatório da Comissão dos Assuntos Jurídicos (A10</w:t>
      </w:r>
      <w:r w:rsidRPr="00AE1602">
        <w:noBreakHyphen/>
        <w:t>0009/2026),</w:t>
      </w:r>
    </w:p>
    <w:p w14:paraId="4A244E39" w14:textId="77051542" w:rsidR="00BD3A60" w:rsidRPr="00AE1602" w:rsidRDefault="00BD3A60" w:rsidP="00BD3A60">
      <w:pPr>
        <w:pStyle w:val="NormalHanging12a"/>
      </w:pPr>
      <w:r w:rsidRPr="00AE1602">
        <w:t>A.</w:t>
      </w:r>
      <w:r w:rsidRPr="00AE1602">
        <w:tab/>
        <w:t>Considerando que o Ministério Federal da Justiça alemão enviou um pedido do Procurador</w:t>
      </w:r>
      <w:r w:rsidRPr="00AE1602">
        <w:noBreakHyphen/>
        <w:t xml:space="preserve">Geral de Munique destinado a obter o levantamento da imunidade de Petr </w:t>
      </w:r>
      <w:proofErr w:type="spellStart"/>
      <w:r w:rsidRPr="00AE1602">
        <w:t>Bystron</w:t>
      </w:r>
      <w:proofErr w:type="spellEnd"/>
      <w:r w:rsidRPr="00AE1602">
        <w:t>, deputado ao Parlamento Europeu</w:t>
      </w:r>
      <w:r w:rsidR="00A92044" w:rsidRPr="00AE1602">
        <w:t xml:space="preserve"> eleito na Alemanh</w:t>
      </w:r>
      <w:r w:rsidR="001C2D70" w:rsidRPr="00AE1602">
        <w:t>a</w:t>
      </w:r>
      <w:r w:rsidRPr="00AE1602">
        <w:t xml:space="preserve">, relativamente a alegados atos constitutivos </w:t>
      </w:r>
      <w:r w:rsidR="001F0F05" w:rsidRPr="00AE1602">
        <w:t xml:space="preserve">de crime </w:t>
      </w:r>
      <w:r w:rsidRPr="00AE1602">
        <w:t>de fraude ao abrigo do artigo 263.º, n.º 1, do Código Penal alemão, por uma suposta declaração falsa relacionada com o pagamento de um subsídio fixo;</w:t>
      </w:r>
    </w:p>
    <w:p w14:paraId="6DD9BF0A" w14:textId="52E769F2" w:rsidR="00BD3A60" w:rsidRPr="00AE1602" w:rsidRDefault="00BD3A60" w:rsidP="00BD3A60">
      <w:pPr>
        <w:pStyle w:val="NormalHanging12a"/>
      </w:pPr>
      <w:r w:rsidRPr="00AE1602">
        <w:t>B.</w:t>
      </w:r>
      <w:r w:rsidRPr="00AE1602">
        <w:tab/>
        <w:t xml:space="preserve">Considerando que, de acordo com </w:t>
      </w:r>
      <w:r w:rsidR="001F0F05" w:rsidRPr="00AE1602">
        <w:t xml:space="preserve">tal </w:t>
      </w:r>
      <w:r w:rsidRPr="00AE1602">
        <w:t xml:space="preserve">pedido, Petr </w:t>
      </w:r>
      <w:proofErr w:type="spellStart"/>
      <w:r w:rsidRPr="00AE1602">
        <w:t>Bystron</w:t>
      </w:r>
      <w:proofErr w:type="spellEnd"/>
      <w:r w:rsidRPr="00AE1602">
        <w:t xml:space="preserve"> foi deputado ao Parlamento Federal alemão entre 2017 e julho de 2024</w:t>
      </w:r>
      <w:r w:rsidR="000955B0" w:rsidRPr="00AE1602">
        <w:t>; considerando que</w:t>
      </w:r>
      <w:r w:rsidRPr="00AE1602">
        <w:t xml:space="preserve">, na sua qualidade de deputado ao Parlamento Federal alemão, Petr </w:t>
      </w:r>
      <w:proofErr w:type="spellStart"/>
      <w:r w:rsidRPr="00AE1602">
        <w:t>Bystron</w:t>
      </w:r>
      <w:proofErr w:type="spellEnd"/>
      <w:r w:rsidRPr="00AE1602">
        <w:t xml:space="preserve"> tinha direito, nos termos do artigo 12.º, n.º 3, da Lei relativa aos deputados ao Parlamento Federal (</w:t>
      </w:r>
      <w:proofErr w:type="spellStart"/>
      <w:r w:rsidRPr="00AE1602">
        <w:t>AbgG</w:t>
      </w:r>
      <w:proofErr w:type="spellEnd"/>
      <w:r w:rsidRPr="00AE1602">
        <w:t>), a um subsídio fixo que abrangia, nomeadamente, a contratação de pessoal</w:t>
      </w:r>
      <w:r w:rsidR="000955B0" w:rsidRPr="00AE1602">
        <w:t>; considerando que</w:t>
      </w:r>
      <w:r w:rsidRPr="00AE1602">
        <w:t xml:space="preserve">, em 10 de novembro de 2021, Petr </w:t>
      </w:r>
      <w:proofErr w:type="spellStart"/>
      <w:r w:rsidRPr="00AE1602">
        <w:t>Bystron</w:t>
      </w:r>
      <w:proofErr w:type="spellEnd"/>
      <w:r w:rsidRPr="00AE1602">
        <w:t xml:space="preserve"> assinou um contrato de trabalho para contratar um membro do pessoal como «escriturário/datilógrafo» para o seu gabinete do círculo eleitoral de Munique</w:t>
      </w:r>
      <w:r w:rsidR="000955B0" w:rsidRPr="00AE1602">
        <w:t>; considerando que</w:t>
      </w:r>
      <w:r w:rsidRPr="00AE1602">
        <w:t xml:space="preserve">, alegadamente, ao apresentar o contrato de trabalho à administração do Parlamento Federal, Petr </w:t>
      </w:r>
      <w:proofErr w:type="spellStart"/>
      <w:r w:rsidRPr="00AE1602">
        <w:t>Bystron</w:t>
      </w:r>
      <w:proofErr w:type="spellEnd"/>
      <w:r w:rsidRPr="00AE1602">
        <w:t xml:space="preserve"> declarou expressamente que </w:t>
      </w:r>
      <w:r w:rsidR="00A92044" w:rsidRPr="00AE1602">
        <w:t xml:space="preserve">esse </w:t>
      </w:r>
      <w:r w:rsidRPr="00AE1602">
        <w:t>membro do pessoal trabalharia como escriturário/datilógrafo no gabinete do seu círculo eleitoral</w:t>
      </w:r>
      <w:r w:rsidR="000955B0" w:rsidRPr="00AE1602">
        <w:t>; considerando que</w:t>
      </w:r>
      <w:r w:rsidRPr="00AE1602">
        <w:t xml:space="preserve"> o pedido indica que, na realidade, esse membro do pessoal não trabalhou como escriturário/datilógrafo</w:t>
      </w:r>
      <w:r w:rsidR="000955B0" w:rsidRPr="00AE1602">
        <w:t>; considerando que</w:t>
      </w:r>
      <w:r w:rsidRPr="00AE1602">
        <w:t xml:space="preserve"> se alega que, devido às informações incorretas que constavam do contrato de trabalho, a administração do Parlamento Federal </w:t>
      </w:r>
      <w:r w:rsidR="001F0F05" w:rsidRPr="00AE1602">
        <w:t xml:space="preserve">considerou </w:t>
      </w:r>
      <w:r w:rsidRPr="00AE1602">
        <w:t xml:space="preserve">erradamente que </w:t>
      </w:r>
      <w:r w:rsidR="001F0F05" w:rsidRPr="00AE1602">
        <w:t xml:space="preserve">se encontravam </w:t>
      </w:r>
      <w:r w:rsidRPr="00AE1602">
        <w:t xml:space="preserve">preenchidas as condições previstas no artigo 12.º, n.º 3, da </w:t>
      </w:r>
      <w:proofErr w:type="spellStart"/>
      <w:r w:rsidRPr="00AE1602">
        <w:t>AbgG</w:t>
      </w:r>
      <w:proofErr w:type="spellEnd"/>
      <w:r w:rsidRPr="00AE1602">
        <w:t xml:space="preserve"> para o pagamento do subsídio fixo, tendo, por conseguinte, dado instruções para que os salários fossem pagos ao membro do pessoal em causa (cerca de 14 850 EUR no total)</w:t>
      </w:r>
      <w:r w:rsidR="000955B0" w:rsidRPr="00AE1602">
        <w:t>; considerando que</w:t>
      </w:r>
      <w:r w:rsidRPr="00AE1602">
        <w:t xml:space="preserve">, de acordo com o pedido, Petr </w:t>
      </w:r>
      <w:proofErr w:type="spellStart"/>
      <w:r w:rsidRPr="00AE1602">
        <w:t>Bystron</w:t>
      </w:r>
      <w:proofErr w:type="spellEnd"/>
      <w:r w:rsidRPr="00AE1602">
        <w:t xml:space="preserve"> tinha conhecimento destas circunstâncias, sendo, por conseguinte, suspeito de prestar dolosamente declarações falsas;</w:t>
      </w:r>
    </w:p>
    <w:p w14:paraId="5582D6C5" w14:textId="77777777" w:rsidR="00BD3A60" w:rsidRPr="00AE1602" w:rsidRDefault="00BD3A60" w:rsidP="00BD3A60">
      <w:pPr>
        <w:pStyle w:val="NormalHanging12a"/>
      </w:pPr>
      <w:r w:rsidRPr="00AE1602">
        <w:t>C.</w:t>
      </w:r>
      <w:r w:rsidRPr="00AE1602">
        <w:tab/>
        <w:t xml:space="preserve">Considerando que Petr </w:t>
      </w:r>
      <w:proofErr w:type="spellStart"/>
      <w:r w:rsidRPr="00AE1602">
        <w:t>Bystron</w:t>
      </w:r>
      <w:proofErr w:type="spellEnd"/>
      <w:r w:rsidRPr="00AE1602">
        <w:t xml:space="preserve"> foi eleito para o Parlamento Europeu nas eleições europeias de junho de 2024 e que não era deputado ao Parlamento Europeu no momento do alegado crime;</w:t>
      </w:r>
    </w:p>
    <w:p w14:paraId="17763263" w14:textId="77777777" w:rsidR="00BD3A60" w:rsidRPr="00AE1602" w:rsidRDefault="00BD3A60" w:rsidP="00BD3A60">
      <w:pPr>
        <w:pStyle w:val="NormalHanging12a"/>
      </w:pPr>
      <w:r w:rsidRPr="00AE1602">
        <w:t>D.</w:t>
      </w:r>
      <w:r w:rsidRPr="00AE1602">
        <w:tab/>
        <w:t xml:space="preserve">Considerando que o alegado crime não constitui uma opinião ou um voto emitido por Petr </w:t>
      </w:r>
      <w:proofErr w:type="spellStart"/>
      <w:r w:rsidRPr="00AE1602">
        <w:t>Bystron</w:t>
      </w:r>
      <w:proofErr w:type="spellEnd"/>
      <w:r w:rsidRPr="00AE1602">
        <w:t xml:space="preserve"> no exercício das suas funções, na aceção do artigo 8.º do Protocolo n.º 7 relativo aos Privilégios e Imunidades da União Europeia, nem o pedido subsequente de levantamento da imunidade deste está relacionado com tal opinião ou voto;</w:t>
      </w:r>
    </w:p>
    <w:p w14:paraId="2C77CC3E" w14:textId="12D84B00" w:rsidR="00BD3A60" w:rsidRPr="00AE1602" w:rsidRDefault="00BD3A60" w:rsidP="00BD3A60">
      <w:pPr>
        <w:pStyle w:val="NormalHanging12a"/>
      </w:pPr>
      <w:r w:rsidRPr="00AE1602">
        <w:t>E.</w:t>
      </w:r>
      <w:r w:rsidRPr="00AE1602">
        <w:tab/>
        <w:t xml:space="preserve">Considerando que o artigo 9.º, primeiro parágrafo, alínea a), do Protocolo n.º 7 relativo aos Privilégios e Imunidades da União Europeia prevê que, durante as sessões do Parlamento Europeu, os deputados ao Parlamento Europeu gozam, no território nacional, das imunidades reconhecidas aos membros do Parlamento do seu </w:t>
      </w:r>
      <w:r w:rsidR="00A92044" w:rsidRPr="00AE1602">
        <w:t>Estado</w:t>
      </w:r>
      <w:r w:rsidR="00A92044" w:rsidRPr="00AE1602">
        <w:noBreakHyphen/>
        <w:t>Membro</w:t>
      </w:r>
      <w:r w:rsidRPr="00AE1602">
        <w:t>;</w:t>
      </w:r>
    </w:p>
    <w:p w14:paraId="0AE33CEB" w14:textId="77777777" w:rsidR="00BD3A60" w:rsidRPr="00AE1602" w:rsidRDefault="00BD3A60" w:rsidP="00BD3A60">
      <w:pPr>
        <w:pStyle w:val="NormalHanging12a"/>
      </w:pPr>
      <w:r w:rsidRPr="00AE1602">
        <w:t>F.</w:t>
      </w:r>
      <w:r w:rsidRPr="00AE1602">
        <w:tab/>
        <w:t xml:space="preserve">Considerando que o artigo 46.º, </w:t>
      </w:r>
      <w:proofErr w:type="spellStart"/>
      <w:r w:rsidRPr="00AE1602">
        <w:t>n.</w:t>
      </w:r>
      <w:r w:rsidRPr="00AE1602">
        <w:rPr>
          <w:vertAlign w:val="superscript"/>
        </w:rPr>
        <w:t>os</w:t>
      </w:r>
      <w:proofErr w:type="spellEnd"/>
      <w:r w:rsidRPr="00AE1602">
        <w:t> 2, 3 e 4, da Lei Fundamental da República Federal da Alemanha prevê o seguinte:</w:t>
      </w:r>
    </w:p>
    <w:p w14:paraId="4AA4C768" w14:textId="77777777" w:rsidR="00BD3A60" w:rsidRPr="00AE1602" w:rsidRDefault="00BD3A60" w:rsidP="00BD3A60">
      <w:pPr>
        <w:pStyle w:val="NormalHanging12a"/>
        <w:ind w:left="1134"/>
      </w:pPr>
      <w:r w:rsidRPr="00AE1602">
        <w:t xml:space="preserve">«(2) </w:t>
      </w:r>
      <w:r w:rsidRPr="00AE1602">
        <w:tab/>
        <w:t>Tratando</w:t>
      </w:r>
      <w:r w:rsidRPr="00AE1602">
        <w:noBreakHyphen/>
        <w:t xml:space="preserve">se de atos sujeitos a sanção penal, um deputado só pode ser responsabilizado ou detido com autorização do Parlamento Federal, a não ser que </w:t>
      </w:r>
      <w:r w:rsidRPr="00AE1602">
        <w:lastRenderedPageBreak/>
        <w:t>seja detido em flagrante delito ou no decurso do dia seguinte.</w:t>
      </w:r>
    </w:p>
    <w:p w14:paraId="2E82B7ED" w14:textId="1924BC87" w:rsidR="00BD3A60" w:rsidRPr="00AE1602" w:rsidRDefault="00BD3A60" w:rsidP="00BD3A60">
      <w:pPr>
        <w:pStyle w:val="NormalHanging12a"/>
        <w:ind w:left="1134"/>
      </w:pPr>
      <w:r w:rsidRPr="00AE1602">
        <w:t xml:space="preserve">(3) </w:t>
      </w:r>
      <w:r w:rsidRPr="00AE1602">
        <w:tab/>
        <w:t>É igualmente necessária autorização do Parlamento Federal para qualquer outra restrição da liberdade pessoal de um deputado ou para instaurar um processo contra um deputado, nos termos do artigo 18.º</w:t>
      </w:r>
      <w:r w:rsidR="00A92044" w:rsidRPr="00AE1602">
        <w:t>.</w:t>
      </w:r>
    </w:p>
    <w:p w14:paraId="67D6BC16" w14:textId="16371A8E" w:rsidR="00BD3A60" w:rsidRPr="00AE1602" w:rsidRDefault="00BD3A60" w:rsidP="00BD3A60">
      <w:pPr>
        <w:pStyle w:val="NormalHanging12a"/>
        <w:ind w:left="1134"/>
      </w:pPr>
      <w:r w:rsidRPr="00AE1602">
        <w:t xml:space="preserve">(4) </w:t>
      </w:r>
      <w:r w:rsidRPr="00AE1602">
        <w:tab/>
        <w:t>Qualquer processo penal ou processo iniciado contra um deputado nos termos do artigo 18.</w:t>
      </w:r>
      <w:r w:rsidR="000955B0" w:rsidRPr="00AE1602">
        <w:t>º</w:t>
      </w:r>
      <w:r w:rsidRPr="00AE1602">
        <w:t>, bem como qualquer detenção ou outra restrição das suas liberdades pessoais, serão suspensos a pedido do Parlamento Federal»;</w:t>
      </w:r>
    </w:p>
    <w:p w14:paraId="33FA92A7" w14:textId="77777777" w:rsidR="00BD3A60" w:rsidRPr="00AE1602" w:rsidRDefault="00BD3A60" w:rsidP="00BD3A60">
      <w:pPr>
        <w:pStyle w:val="NormalHanging12a"/>
      </w:pPr>
      <w:r w:rsidRPr="00AE1602">
        <w:t>G.</w:t>
      </w:r>
      <w:r w:rsidRPr="00AE1602">
        <w:tab/>
        <w:t>Considerando que o objetivo da imunidade prevista no Protocolo n.º 7 relativo aos Privilégios e Imunidades da União Europeia é proteger o Parlamento e os seus deputados contra processos judiciais relacionados com atividades exercidas no desempenho das suas funções parlamentares e que não podem ser separadas dessas funções;</w:t>
      </w:r>
    </w:p>
    <w:p w14:paraId="2ED8D168" w14:textId="77777777" w:rsidR="00BD3A60" w:rsidRPr="00AE1602" w:rsidRDefault="00BD3A60" w:rsidP="00BD3A60">
      <w:pPr>
        <w:pStyle w:val="NormalHanging12a"/>
      </w:pPr>
      <w:r w:rsidRPr="00AE1602">
        <w:t>H.</w:t>
      </w:r>
      <w:r w:rsidRPr="00AE1602">
        <w:tab/>
        <w:t>Considerando que, nos termos do artigo 5.º, n.º 2, do seu Regimento, a imunidade parlamentar não é um privilégio pessoal de um deputado, mas uma garantia da independência do Parlamento como um todo e dos seus membros;</w:t>
      </w:r>
    </w:p>
    <w:p w14:paraId="4EE65A39" w14:textId="77777777" w:rsidR="00BD3A60" w:rsidRPr="00AE1602" w:rsidRDefault="00BD3A60" w:rsidP="00BD3A60">
      <w:pPr>
        <w:pStyle w:val="NormalHanging12a"/>
      </w:pPr>
      <w:r w:rsidRPr="00AE1602">
        <w:t>I.</w:t>
      </w:r>
      <w:r w:rsidRPr="00AE1602">
        <w:tab/>
        <w:t xml:space="preserve">Considerando que, no caso em apreço, o Parlamento não encontrou indícios de </w:t>
      </w:r>
      <w:proofErr w:type="spellStart"/>
      <w:r w:rsidRPr="00AE1602">
        <w:rPr>
          <w:i/>
          <w:iCs/>
        </w:rPr>
        <w:t>fumus</w:t>
      </w:r>
      <w:proofErr w:type="spellEnd"/>
      <w:r w:rsidRPr="00AE1602">
        <w:rPr>
          <w:i/>
          <w:iCs/>
        </w:rPr>
        <w:t xml:space="preserve"> </w:t>
      </w:r>
      <w:proofErr w:type="spellStart"/>
      <w:r w:rsidRPr="00AE1602">
        <w:rPr>
          <w:i/>
          <w:iCs/>
        </w:rPr>
        <w:t>persecutionis</w:t>
      </w:r>
      <w:proofErr w:type="spellEnd"/>
      <w:r w:rsidRPr="00AE1602">
        <w:t>, ou seja, elementos de facto que indiquem que o processo judicial em causa foi instaurado com a intenção de prejudicar a atividade política do deputado na sua qualidade de deputado ao Parlamento Europeu;</w:t>
      </w:r>
    </w:p>
    <w:p w14:paraId="76201592" w14:textId="77777777" w:rsidR="00BD3A60" w:rsidRPr="00AE1602" w:rsidRDefault="00BD3A60" w:rsidP="00BD3A60">
      <w:pPr>
        <w:pStyle w:val="NormalHanging12a"/>
      </w:pPr>
      <w:r w:rsidRPr="00AE1602">
        <w:t>J.</w:t>
      </w:r>
      <w:r w:rsidRPr="00AE1602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AE1602">
        <w:rPr>
          <w:vertAlign w:val="superscript"/>
        </w:rPr>
        <w:footnoteReference w:id="2"/>
      </w:r>
      <w:r w:rsidRPr="00AE1602">
        <w:t>;</w:t>
      </w:r>
    </w:p>
    <w:p w14:paraId="47E86C36" w14:textId="77777777" w:rsidR="00BD3A60" w:rsidRPr="00AE1602" w:rsidRDefault="00BD3A60" w:rsidP="00BD3A60">
      <w:pPr>
        <w:pStyle w:val="NormalHanging12a"/>
      </w:pPr>
      <w:r w:rsidRPr="00AE1602">
        <w:t>1.</w:t>
      </w:r>
      <w:r w:rsidRPr="00AE1602">
        <w:tab/>
        <w:t xml:space="preserve">Decide levantar a imunidade de Petr </w:t>
      </w:r>
      <w:proofErr w:type="spellStart"/>
      <w:r w:rsidRPr="00AE1602">
        <w:t>Bystron</w:t>
      </w:r>
      <w:proofErr w:type="spellEnd"/>
      <w:r w:rsidRPr="00AE1602">
        <w:t>;</w:t>
      </w:r>
    </w:p>
    <w:p w14:paraId="3A8C3C4B" w14:textId="58414CD6" w:rsidR="003D6DB6" w:rsidRPr="00AE1602" w:rsidRDefault="00BD3A60" w:rsidP="003D6DB6">
      <w:pPr>
        <w:pStyle w:val="NormalHanging12a"/>
      </w:pPr>
      <w:r w:rsidRPr="00AE1602">
        <w:t>2.</w:t>
      </w:r>
      <w:r w:rsidRPr="00AE1602">
        <w:tab/>
        <w:t>Encarrega a sua Presidente de transmitir de imediato a presente decisão, bem como o relatório da sua comissão competente, à autoridade competente da República Federal da Alemanha e a Petr </w:t>
      </w:r>
      <w:proofErr w:type="spellStart"/>
      <w:r w:rsidRPr="00AE1602">
        <w:t>Bystron</w:t>
      </w:r>
      <w:proofErr w:type="spellEnd"/>
      <w:r w:rsidRPr="00AE1602">
        <w:t>.</w:t>
      </w:r>
    </w:p>
    <w:p w14:paraId="31953602" w14:textId="1C9F5C91" w:rsidR="00E365E1" w:rsidRPr="00AE1602" w:rsidRDefault="00E365E1" w:rsidP="004D1D2D"/>
    <w:sectPr w:rsidR="00E365E1" w:rsidRPr="00AE1602" w:rsidSect="003D6D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99FD0" w14:textId="77777777" w:rsidR="004D1D2D" w:rsidRPr="003D6DB6" w:rsidRDefault="004D1D2D">
      <w:r w:rsidRPr="003D6DB6">
        <w:separator/>
      </w:r>
    </w:p>
  </w:endnote>
  <w:endnote w:type="continuationSeparator" w:id="0">
    <w:p w14:paraId="35F23F65" w14:textId="77777777" w:rsidR="004D1D2D" w:rsidRPr="003D6DB6" w:rsidRDefault="004D1D2D">
      <w:r w:rsidRPr="003D6D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51B6" w14:textId="77777777" w:rsidR="00064002" w:rsidRPr="003D6D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00DBC" w14:textId="77777777" w:rsidR="00064002" w:rsidRPr="003D6D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0CBE" w14:textId="77777777" w:rsidR="00064002" w:rsidRPr="003D6D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AA87F" w14:textId="77777777" w:rsidR="004D1D2D" w:rsidRPr="003D6DB6" w:rsidRDefault="004D1D2D">
      <w:r w:rsidRPr="003D6DB6">
        <w:separator/>
      </w:r>
    </w:p>
  </w:footnote>
  <w:footnote w:type="continuationSeparator" w:id="0">
    <w:p w14:paraId="04FE60C0" w14:textId="77777777" w:rsidR="004D1D2D" w:rsidRPr="003D6DB6" w:rsidRDefault="004D1D2D">
      <w:r w:rsidRPr="003D6DB6">
        <w:continuationSeparator/>
      </w:r>
    </w:p>
  </w:footnote>
  <w:footnote w:id="1">
    <w:p w14:paraId="7EE28F08" w14:textId="7B526816" w:rsidR="00BD3A60" w:rsidRPr="003D6DB6" w:rsidRDefault="00BD3A60" w:rsidP="003D6DB6">
      <w:pPr>
        <w:pStyle w:val="FootnoteText"/>
        <w:ind w:left="567" w:hanging="567"/>
        <w:rPr>
          <w:sz w:val="24"/>
          <w:lang w:val="pt-PT"/>
        </w:rPr>
      </w:pPr>
      <w:r w:rsidRPr="003D6DB6">
        <w:rPr>
          <w:rStyle w:val="FootnoteReference"/>
          <w:sz w:val="24"/>
          <w:lang w:val="pt-PT"/>
        </w:rPr>
        <w:footnoteRef/>
      </w:r>
      <w:r w:rsidR="003D6DB6" w:rsidRPr="003D6DB6">
        <w:rPr>
          <w:sz w:val="24"/>
          <w:lang w:val="pt-PT"/>
        </w:rPr>
        <w:t xml:space="preserve"> </w:t>
      </w:r>
      <w:r w:rsidR="003D6DB6" w:rsidRPr="003D6DB6">
        <w:rPr>
          <w:sz w:val="24"/>
          <w:lang w:val="pt-PT"/>
        </w:rPr>
        <w:tab/>
      </w:r>
      <w:r w:rsidRPr="003D6DB6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3D6DB6">
        <w:rPr>
          <w:sz w:val="24"/>
          <w:lang w:val="pt-PT"/>
        </w:rPr>
        <w:t>Gregorio</w:t>
      </w:r>
      <w:proofErr w:type="spellEnd"/>
      <w:r w:rsidRPr="003D6DB6">
        <w:rPr>
          <w:sz w:val="24"/>
          <w:lang w:val="pt-PT"/>
        </w:rPr>
        <w:t xml:space="preserve"> e Clemente, C</w:t>
      </w:r>
      <w:r w:rsidRPr="003D6DB6">
        <w:rPr>
          <w:sz w:val="24"/>
          <w:lang w:val="pt-PT"/>
        </w:rPr>
        <w:noBreakHyphen/>
        <w:t>200/07 e C</w:t>
      </w:r>
      <w:r w:rsidRPr="003D6DB6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3D6DB6">
        <w:rPr>
          <w:sz w:val="24"/>
          <w:lang w:val="pt-PT"/>
        </w:rPr>
        <w:t>Gollnisch</w:t>
      </w:r>
      <w:proofErr w:type="spellEnd"/>
      <w:r w:rsidRPr="003D6DB6">
        <w:rPr>
          <w:sz w:val="24"/>
          <w:lang w:val="pt-PT"/>
        </w:rPr>
        <w:t>/Parlamento Europeu, T</w:t>
      </w:r>
      <w:r w:rsidRPr="003D6DB6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3D6DB6">
        <w:rPr>
          <w:sz w:val="24"/>
          <w:lang w:val="pt-PT"/>
        </w:rPr>
        <w:t>Patriciello</w:t>
      </w:r>
      <w:proofErr w:type="spellEnd"/>
      <w:r w:rsidRPr="003D6DB6">
        <w:rPr>
          <w:sz w:val="24"/>
          <w:lang w:val="pt-PT"/>
        </w:rPr>
        <w:t>, C</w:t>
      </w:r>
      <w:r w:rsidRPr="003D6DB6">
        <w:rPr>
          <w:sz w:val="24"/>
          <w:lang w:val="pt-PT"/>
        </w:rPr>
        <w:noBreakHyphen/>
        <w:t xml:space="preserve">163/10, ECLI: EU:C:2011:543; Acórdão do Tribunal Geral de 17 de janeiro de 2013, </w:t>
      </w:r>
      <w:proofErr w:type="spellStart"/>
      <w:r w:rsidRPr="003D6DB6">
        <w:rPr>
          <w:sz w:val="24"/>
          <w:lang w:val="pt-PT"/>
        </w:rPr>
        <w:t>Gollnisch</w:t>
      </w:r>
      <w:proofErr w:type="spellEnd"/>
      <w:r w:rsidRPr="003D6DB6">
        <w:rPr>
          <w:sz w:val="24"/>
          <w:lang w:val="pt-PT"/>
        </w:rPr>
        <w:t>/Parlamento, T</w:t>
      </w:r>
      <w:r w:rsidRPr="003D6DB6">
        <w:rPr>
          <w:sz w:val="24"/>
          <w:lang w:val="pt-PT"/>
        </w:rPr>
        <w:noBreakHyphen/>
        <w:t>346/11 e T</w:t>
      </w:r>
      <w:r w:rsidRPr="003D6DB6">
        <w:rPr>
          <w:sz w:val="24"/>
          <w:lang w:val="pt-PT"/>
        </w:rPr>
        <w:noBreakHyphen/>
        <w:t xml:space="preserve">347/11, ECLI:EU:T:2013:23; Acórdão do Tribunal de Justiça de 19 de dezembro de 2019, </w:t>
      </w:r>
      <w:proofErr w:type="spellStart"/>
      <w:r w:rsidRPr="003D6DB6">
        <w:rPr>
          <w:sz w:val="24"/>
          <w:lang w:val="pt-PT"/>
        </w:rPr>
        <w:t>Junqueras</w:t>
      </w:r>
      <w:proofErr w:type="spellEnd"/>
      <w:r w:rsidRPr="003D6DB6">
        <w:rPr>
          <w:sz w:val="24"/>
          <w:lang w:val="pt-PT"/>
        </w:rPr>
        <w:t xml:space="preserve"> </w:t>
      </w:r>
      <w:proofErr w:type="spellStart"/>
      <w:r w:rsidRPr="003D6DB6">
        <w:rPr>
          <w:sz w:val="24"/>
          <w:lang w:val="pt-PT"/>
        </w:rPr>
        <w:t>Vies</w:t>
      </w:r>
      <w:proofErr w:type="spellEnd"/>
      <w:r w:rsidRPr="003D6DB6">
        <w:rPr>
          <w:sz w:val="24"/>
          <w:lang w:val="pt-PT"/>
        </w:rPr>
        <w:t>, C</w:t>
      </w:r>
      <w:r w:rsidRPr="003D6DB6">
        <w:rPr>
          <w:sz w:val="24"/>
          <w:lang w:val="pt-PT"/>
        </w:rPr>
        <w:noBreakHyphen/>
        <w:t xml:space="preserve">502/19, ECLI:EU:C:2019:1115; Acórdão do Tribunal Geral de 5 de julho de 2023, </w:t>
      </w:r>
      <w:proofErr w:type="spellStart"/>
      <w:r w:rsidRPr="003D6DB6">
        <w:rPr>
          <w:sz w:val="24"/>
          <w:lang w:val="pt-PT"/>
        </w:rPr>
        <w:t>Puigdemont</w:t>
      </w:r>
      <w:proofErr w:type="spellEnd"/>
      <w:r w:rsidRPr="003D6DB6">
        <w:rPr>
          <w:sz w:val="24"/>
          <w:lang w:val="pt-PT"/>
        </w:rPr>
        <w:t xml:space="preserve"> i </w:t>
      </w:r>
      <w:proofErr w:type="spellStart"/>
      <w:r w:rsidRPr="003D6DB6">
        <w:rPr>
          <w:sz w:val="24"/>
          <w:lang w:val="pt-PT"/>
        </w:rPr>
        <w:t>Casamajó</w:t>
      </w:r>
      <w:proofErr w:type="spellEnd"/>
      <w:r w:rsidRPr="003D6DB6">
        <w:rPr>
          <w:sz w:val="24"/>
          <w:lang w:val="pt-PT"/>
        </w:rPr>
        <w:t xml:space="preserve"> e o./Parlamento Europeu, T</w:t>
      </w:r>
      <w:r w:rsidRPr="003D6DB6">
        <w:rPr>
          <w:sz w:val="24"/>
          <w:lang w:val="pt-PT"/>
        </w:rPr>
        <w:noBreakHyphen/>
        <w:t>272/21/P, ECLI:EU:T:2023:373.</w:t>
      </w:r>
    </w:p>
  </w:footnote>
  <w:footnote w:id="2">
    <w:p w14:paraId="54961147" w14:textId="1BDDC9D8" w:rsidR="00BD3A60" w:rsidRPr="003D6DB6" w:rsidRDefault="00BD3A60" w:rsidP="003D6DB6">
      <w:pPr>
        <w:pStyle w:val="FootnoteText"/>
        <w:ind w:left="567" w:hanging="567"/>
        <w:rPr>
          <w:sz w:val="24"/>
          <w:lang w:val="pt-PT"/>
        </w:rPr>
      </w:pPr>
      <w:r w:rsidRPr="003D6DB6">
        <w:rPr>
          <w:rStyle w:val="FootnoteReference"/>
          <w:sz w:val="24"/>
          <w:lang w:val="pt-PT"/>
        </w:rPr>
        <w:footnoteRef/>
      </w:r>
      <w:r w:rsidR="003D6DB6" w:rsidRPr="003D6DB6">
        <w:rPr>
          <w:sz w:val="24"/>
          <w:lang w:val="pt-PT"/>
        </w:rPr>
        <w:t xml:space="preserve"> </w:t>
      </w:r>
      <w:r w:rsidR="003D6DB6" w:rsidRPr="003D6DB6">
        <w:rPr>
          <w:sz w:val="24"/>
          <w:lang w:val="pt-PT"/>
        </w:rPr>
        <w:tab/>
      </w:r>
      <w:r w:rsidRPr="003D6DB6">
        <w:rPr>
          <w:sz w:val="24"/>
          <w:lang w:val="pt-PT"/>
        </w:rPr>
        <w:t xml:space="preserve">Acórdão do Tribunal Geral de 30 de abril de 2019, </w:t>
      </w:r>
      <w:proofErr w:type="spellStart"/>
      <w:r w:rsidRPr="003D6DB6">
        <w:rPr>
          <w:sz w:val="24"/>
          <w:lang w:val="pt-PT"/>
        </w:rPr>
        <w:t>Briois</w:t>
      </w:r>
      <w:proofErr w:type="spellEnd"/>
      <w:r w:rsidRPr="003D6DB6">
        <w:rPr>
          <w:sz w:val="24"/>
          <w:lang w:val="pt-PT"/>
        </w:rPr>
        <w:t>/Parlamento Europeu, T</w:t>
      </w:r>
      <w:r w:rsidRPr="003D6DB6">
        <w:rPr>
          <w:sz w:val="24"/>
          <w:lang w:val="pt-PT"/>
        </w:rPr>
        <w:noBreakHyphen/>
        <w:t>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60A3" w14:textId="77777777" w:rsidR="00064002" w:rsidRPr="003D6D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53F3" w14:textId="77777777" w:rsidR="00064002" w:rsidRPr="003D6D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B723E" w14:textId="77777777" w:rsidR="00064002" w:rsidRPr="003D6D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0340850">
    <w:abstractNumId w:val="9"/>
  </w:num>
  <w:num w:numId="2" w16cid:durableId="1971858773">
    <w:abstractNumId w:val="9"/>
  </w:num>
  <w:num w:numId="3" w16cid:durableId="1073315143">
    <w:abstractNumId w:val="7"/>
  </w:num>
  <w:num w:numId="4" w16cid:durableId="1958877736">
    <w:abstractNumId w:val="7"/>
  </w:num>
  <w:num w:numId="5" w16cid:durableId="252251984">
    <w:abstractNumId w:val="6"/>
  </w:num>
  <w:num w:numId="6" w16cid:durableId="1187867999">
    <w:abstractNumId w:val="6"/>
  </w:num>
  <w:num w:numId="7" w16cid:durableId="1941254836">
    <w:abstractNumId w:val="5"/>
  </w:num>
  <w:num w:numId="8" w16cid:durableId="1393388098">
    <w:abstractNumId w:val="5"/>
  </w:num>
  <w:num w:numId="9" w16cid:durableId="559482887">
    <w:abstractNumId w:val="4"/>
  </w:num>
  <w:num w:numId="10" w16cid:durableId="1035428788">
    <w:abstractNumId w:val="4"/>
  </w:num>
  <w:num w:numId="11" w16cid:durableId="1861121902">
    <w:abstractNumId w:val="8"/>
  </w:num>
  <w:num w:numId="12" w16cid:durableId="2070222354">
    <w:abstractNumId w:val="8"/>
  </w:num>
  <w:num w:numId="13" w16cid:durableId="141510900">
    <w:abstractNumId w:val="3"/>
  </w:num>
  <w:num w:numId="14" w16cid:durableId="1948385601">
    <w:abstractNumId w:val="3"/>
  </w:num>
  <w:num w:numId="15" w16cid:durableId="189227137">
    <w:abstractNumId w:val="2"/>
  </w:num>
  <w:num w:numId="16" w16cid:durableId="1247302155">
    <w:abstractNumId w:val="2"/>
  </w:num>
  <w:num w:numId="17" w16cid:durableId="532310861">
    <w:abstractNumId w:val="1"/>
  </w:num>
  <w:num w:numId="18" w16cid:durableId="1489436845">
    <w:abstractNumId w:val="1"/>
  </w:num>
  <w:num w:numId="19" w16cid:durableId="539974797">
    <w:abstractNumId w:val="0"/>
  </w:num>
  <w:num w:numId="20" w16cid:durableId="236063961">
    <w:abstractNumId w:val="0"/>
  </w:num>
  <w:num w:numId="21" w16cid:durableId="925454829">
    <w:abstractNumId w:val="9"/>
  </w:num>
  <w:num w:numId="22" w16cid:durableId="886261891">
    <w:abstractNumId w:val="7"/>
  </w:num>
  <w:num w:numId="23" w16cid:durableId="26486531">
    <w:abstractNumId w:val="6"/>
  </w:num>
  <w:num w:numId="24" w16cid:durableId="1874147739">
    <w:abstractNumId w:val="5"/>
  </w:num>
  <w:num w:numId="25" w16cid:durableId="203297369">
    <w:abstractNumId w:val="4"/>
  </w:num>
  <w:num w:numId="26" w16cid:durableId="1001422610">
    <w:abstractNumId w:val="8"/>
  </w:num>
  <w:num w:numId="27" w16cid:durableId="640426695">
    <w:abstractNumId w:val="3"/>
  </w:num>
  <w:num w:numId="28" w16cid:durableId="771436252">
    <w:abstractNumId w:val="2"/>
  </w:num>
  <w:num w:numId="29" w16cid:durableId="59180373">
    <w:abstractNumId w:val="1"/>
  </w:num>
  <w:num w:numId="30" w16cid:durableId="13070585">
    <w:abstractNumId w:val="0"/>
  </w:num>
  <w:num w:numId="31" w16cid:durableId="1883516657">
    <w:abstractNumId w:val="9"/>
  </w:num>
  <w:num w:numId="32" w16cid:durableId="72557496">
    <w:abstractNumId w:val="7"/>
  </w:num>
  <w:num w:numId="33" w16cid:durableId="1996713289">
    <w:abstractNumId w:val="6"/>
  </w:num>
  <w:num w:numId="34" w16cid:durableId="348919258">
    <w:abstractNumId w:val="5"/>
  </w:num>
  <w:num w:numId="35" w16cid:durableId="1566138228">
    <w:abstractNumId w:val="4"/>
  </w:num>
  <w:num w:numId="36" w16cid:durableId="536084713">
    <w:abstractNumId w:val="8"/>
  </w:num>
  <w:num w:numId="37" w16cid:durableId="1911649738">
    <w:abstractNumId w:val="3"/>
  </w:num>
  <w:num w:numId="38" w16cid:durableId="805855298">
    <w:abstractNumId w:val="2"/>
  </w:num>
  <w:num w:numId="39" w16cid:durableId="1211529482">
    <w:abstractNumId w:val="1"/>
  </w:num>
  <w:num w:numId="40" w16cid:durableId="1397510304">
    <w:abstractNumId w:val="0"/>
  </w:num>
  <w:num w:numId="41" w16cid:durableId="476461476">
    <w:abstractNumId w:val="10"/>
  </w:num>
  <w:num w:numId="42" w16cid:durableId="1784953901">
    <w:abstractNumId w:val="10"/>
  </w:num>
  <w:num w:numId="43" w16cid:durableId="2118257853">
    <w:abstractNumId w:val="10"/>
  </w:num>
  <w:num w:numId="44" w16cid:durableId="863320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PT"/>
    <w:docVar w:name="dvnumam" w:val="0"/>
    <w:docVar w:name="dvpe" w:val="781.254"/>
    <w:docVar w:name="dvrapporteur" w:val="Relator: "/>
    <w:docVar w:name="dvtitre" w:val="Decisão do Parlamento Europeu, de ... de ... de 2026,_x000d__x000a_ sobre o pedido de levantamento da imunidade de Petr Bystron(2025/2077(IMM))"/>
  </w:docVars>
  <w:rsids>
    <w:rsidRoot w:val="004D1D2D"/>
    <w:rsid w:val="00002272"/>
    <w:rsid w:val="00064002"/>
    <w:rsid w:val="000677B9"/>
    <w:rsid w:val="000831BA"/>
    <w:rsid w:val="000955B0"/>
    <w:rsid w:val="000A42CC"/>
    <w:rsid w:val="000E7DD9"/>
    <w:rsid w:val="0010095E"/>
    <w:rsid w:val="00125B37"/>
    <w:rsid w:val="00187494"/>
    <w:rsid w:val="001C2D70"/>
    <w:rsid w:val="001F0F05"/>
    <w:rsid w:val="001F32AE"/>
    <w:rsid w:val="002767FF"/>
    <w:rsid w:val="002B18FE"/>
    <w:rsid w:val="002B5493"/>
    <w:rsid w:val="00343214"/>
    <w:rsid w:val="00361C00"/>
    <w:rsid w:val="00395FA1"/>
    <w:rsid w:val="003D6DB6"/>
    <w:rsid w:val="003E15D4"/>
    <w:rsid w:val="00411CCE"/>
    <w:rsid w:val="0041666E"/>
    <w:rsid w:val="00421060"/>
    <w:rsid w:val="00471C19"/>
    <w:rsid w:val="004865CF"/>
    <w:rsid w:val="004867E3"/>
    <w:rsid w:val="00494A28"/>
    <w:rsid w:val="004C0004"/>
    <w:rsid w:val="004C5D52"/>
    <w:rsid w:val="004D1D2D"/>
    <w:rsid w:val="0050519A"/>
    <w:rsid w:val="005072A1"/>
    <w:rsid w:val="00514517"/>
    <w:rsid w:val="00522D65"/>
    <w:rsid w:val="00545827"/>
    <w:rsid w:val="00560270"/>
    <w:rsid w:val="005C2568"/>
    <w:rsid w:val="005C748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66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CBE"/>
    <w:rsid w:val="00A1687D"/>
    <w:rsid w:val="00A43E52"/>
    <w:rsid w:val="00A4678D"/>
    <w:rsid w:val="00A778C7"/>
    <w:rsid w:val="00A92044"/>
    <w:rsid w:val="00AB441E"/>
    <w:rsid w:val="00AB6293"/>
    <w:rsid w:val="00AE0928"/>
    <w:rsid w:val="00AE1602"/>
    <w:rsid w:val="00AF3B82"/>
    <w:rsid w:val="00B12E95"/>
    <w:rsid w:val="00B22876"/>
    <w:rsid w:val="00B558F0"/>
    <w:rsid w:val="00BD3A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64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788F6"/>
  <w15:chartTrackingRefBased/>
  <w15:docId w15:val="{99B21222-4347-4701-82B0-8B230E10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D3A60"/>
    <w:pPr>
      <w:spacing w:after="240"/>
      <w:ind w:left="567" w:hanging="567"/>
    </w:pPr>
  </w:style>
  <w:style w:type="paragraph" w:customStyle="1" w:styleId="EPComma">
    <w:name w:val="EPComma"/>
    <w:basedOn w:val="Normal"/>
    <w:rsid w:val="00BD3A60"/>
    <w:pPr>
      <w:spacing w:before="480" w:after="240"/>
    </w:pPr>
  </w:style>
  <w:style w:type="paragraph" w:styleId="Revision">
    <w:name w:val="Revision"/>
    <w:hidden/>
    <w:uiPriority w:val="99"/>
    <w:semiHidden/>
    <w:rsid w:val="000955B0"/>
    <w:rPr>
      <w:sz w:val="24"/>
      <w:lang w:val="pt-PT"/>
    </w:rPr>
  </w:style>
  <w:style w:type="character" w:styleId="CommentReference">
    <w:name w:val="annotation reference"/>
    <w:basedOn w:val="DefaultParagraphFont"/>
    <w:rsid w:val="000955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55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55B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95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55B0"/>
    <w:rPr>
      <w:b/>
      <w:bCs/>
      <w:lang w:val="pt-PT"/>
    </w:rPr>
  </w:style>
  <w:style w:type="character" w:styleId="Hyperlink">
    <w:name w:val="Hyperlink"/>
    <w:basedOn w:val="DefaultParagraphFont"/>
    <w:rsid w:val="000955B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920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1021</Words>
  <Characters>5507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IAM-for the plenary</dc:creator>
  <cp:keywords/>
  <cp:lastModifiedBy>MARTINSIsabelAlex</cp:lastModifiedBy>
  <cp:revision>2</cp:revision>
  <cp:lastPrinted>2004-11-19T15:42:00Z</cp:lastPrinted>
  <dcterms:created xsi:type="dcterms:W3CDTF">2026-02-10T14:21:00Z</dcterms:created>
  <dcterms:modified xsi:type="dcterms:W3CDTF">2026-02-10T14:21:00Z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