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597" w14:paraId="35CB61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B93B60" w14:textId="77777777" w:rsidR="00751A4A" w:rsidRPr="00885597" w:rsidRDefault="002B532E" w:rsidP="0010095E">
            <w:pPr>
              <w:pStyle w:val="EPName"/>
            </w:pPr>
            <w:r w:rsidRPr="00885597">
              <w:t>Evropský parlament</w:t>
            </w:r>
          </w:p>
          <w:p w14:paraId="6927D958" w14:textId="77777777" w:rsidR="00751A4A" w:rsidRPr="008855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597">
              <w:t>2024</w:t>
            </w:r>
            <w:r w:rsidR="00817416" w:rsidRPr="00885597">
              <w:t>-202</w:t>
            </w:r>
            <w:r w:rsidRPr="00885597">
              <w:t>9</w:t>
            </w:r>
          </w:p>
        </w:tc>
        <w:tc>
          <w:tcPr>
            <w:tcW w:w="2268" w:type="dxa"/>
            <w:shd w:val="clear" w:color="auto" w:fill="auto"/>
          </w:tcPr>
          <w:p w14:paraId="38C9EE65" w14:textId="77777777" w:rsidR="00751A4A" w:rsidRPr="00885597" w:rsidRDefault="00187494" w:rsidP="0010095E">
            <w:pPr>
              <w:pStyle w:val="EPLogo"/>
            </w:pPr>
            <w:r w:rsidRPr="00885597">
              <w:rPr>
                <w:noProof/>
                <w:lang w:eastAsia="ja-JP"/>
              </w:rPr>
              <w:drawing>
                <wp:inline distT="0" distB="0" distL="0" distR="0" wp14:anchorId="2DB2BBE0" wp14:editId="3CDE56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7A59A8" w14:textId="77777777" w:rsidR="00D058B8" w:rsidRPr="00885597" w:rsidRDefault="00D058B8" w:rsidP="004C5D52">
      <w:pPr>
        <w:pStyle w:val="LineTop"/>
      </w:pPr>
    </w:p>
    <w:p w14:paraId="2ECE77D2" w14:textId="77777777" w:rsidR="00680577" w:rsidRPr="00885597" w:rsidRDefault="002B532E" w:rsidP="00680577">
      <w:pPr>
        <w:pStyle w:val="EPBodyTA1"/>
      </w:pPr>
      <w:r w:rsidRPr="00885597">
        <w:t>PŘIJATÉ TEXTY</w:t>
      </w:r>
    </w:p>
    <w:p w14:paraId="41D77B72" w14:textId="77777777" w:rsidR="00D058B8" w:rsidRPr="00885597" w:rsidRDefault="00D058B8" w:rsidP="00D058B8">
      <w:pPr>
        <w:pStyle w:val="LineBottom"/>
      </w:pPr>
    </w:p>
    <w:p w14:paraId="02A79B2F" w14:textId="1F4A38BA" w:rsidR="002B532E" w:rsidRPr="00DF0351" w:rsidRDefault="002B532E" w:rsidP="002B532E">
      <w:pPr>
        <w:pStyle w:val="ATHeading1"/>
      </w:pPr>
      <w:bookmarkStart w:id="0" w:name="TANumber"/>
      <w:r w:rsidRPr="00DF0351">
        <w:t>P10_</w:t>
      </w:r>
      <w:proofErr w:type="gramStart"/>
      <w:r w:rsidRPr="00DF0351">
        <w:t>TA(</w:t>
      </w:r>
      <w:proofErr w:type="gramEnd"/>
      <w:r w:rsidRPr="00DF0351">
        <w:t>2026)00</w:t>
      </w:r>
      <w:r w:rsidR="00BB057B">
        <w:t>28</w:t>
      </w:r>
      <w:bookmarkEnd w:id="0"/>
    </w:p>
    <w:p w14:paraId="72F91A96" w14:textId="27C92AAD" w:rsidR="002B532E" w:rsidRPr="00885597" w:rsidRDefault="00B50F46" w:rsidP="002B532E">
      <w:pPr>
        <w:pStyle w:val="ATHeading2"/>
      </w:pPr>
      <w:bookmarkStart w:id="1" w:name="title"/>
      <w:bookmarkStart w:id="2" w:name="_Hlk221111046"/>
      <w:r w:rsidRPr="00B50F46">
        <w:t xml:space="preserve">Změna nařízení o zemědělských produktech, pokud jde o pravidla trhu a </w:t>
      </w:r>
      <w:r w:rsidR="002543A7">
        <w:t>podpůrná opatření v odvětví</w:t>
      </w:r>
      <w:r w:rsidRPr="00B50F46">
        <w:t xml:space="preserve"> vín</w:t>
      </w:r>
      <w:r w:rsidR="002543A7">
        <w:t>a</w:t>
      </w:r>
      <w:r w:rsidRPr="00B50F46">
        <w:t xml:space="preserve"> a </w:t>
      </w:r>
      <w:r w:rsidR="002543A7">
        <w:t xml:space="preserve">pro </w:t>
      </w:r>
      <w:r w:rsidRPr="00B50F46">
        <w:t xml:space="preserve">aromatizované vinné </w:t>
      </w:r>
      <w:r w:rsidR="002543A7">
        <w:t>výrobky</w:t>
      </w:r>
      <w:bookmarkEnd w:id="1"/>
    </w:p>
    <w:bookmarkEnd w:id="2"/>
    <w:p w14:paraId="597DD565" w14:textId="77777777" w:rsidR="002B532E" w:rsidRPr="00885597" w:rsidRDefault="002B532E" w:rsidP="002B532E">
      <w:pPr>
        <w:rPr>
          <w:i/>
          <w:vanish/>
        </w:rPr>
      </w:pPr>
      <w:r w:rsidRPr="00885597">
        <w:rPr>
          <w:i/>
        </w:rPr>
        <w:fldChar w:fldCharType="begin"/>
      </w:r>
      <w:r w:rsidRPr="00885597">
        <w:rPr>
          <w:i/>
        </w:rPr>
        <w:instrText xml:space="preserve"> TC"(</w:instrText>
      </w:r>
      <w:bookmarkStart w:id="3" w:name="DocNumber"/>
      <w:r w:rsidRPr="00885597">
        <w:rPr>
          <w:i/>
        </w:rPr>
        <w:instrText>A10-0220/2025</w:instrText>
      </w:r>
      <w:bookmarkEnd w:id="3"/>
      <w:r w:rsidRPr="00885597">
        <w:rPr>
          <w:i/>
        </w:rPr>
        <w:instrText xml:space="preserve"> - Zpravodajka: Esther Herranz García)"\l3 \n&gt; \* MERGEFORMAT </w:instrText>
      </w:r>
      <w:r w:rsidRPr="00885597">
        <w:rPr>
          <w:i/>
        </w:rPr>
        <w:fldChar w:fldCharType="end"/>
      </w:r>
    </w:p>
    <w:p w14:paraId="4B7059A2" w14:textId="77777777" w:rsidR="002B532E" w:rsidRPr="00885597" w:rsidRDefault="002B532E" w:rsidP="002B532E">
      <w:pPr>
        <w:rPr>
          <w:vanish/>
        </w:rPr>
      </w:pPr>
      <w:bookmarkStart w:id="4" w:name="Commission"/>
      <w:r w:rsidRPr="00885597">
        <w:rPr>
          <w:vanish/>
        </w:rPr>
        <w:t>Výbor pro zemědělství a rozvoj venkova</w:t>
      </w:r>
      <w:bookmarkEnd w:id="4"/>
    </w:p>
    <w:p w14:paraId="302B82CE" w14:textId="77777777" w:rsidR="002B532E" w:rsidRPr="00885597" w:rsidRDefault="002B532E" w:rsidP="002B532E">
      <w:pPr>
        <w:rPr>
          <w:vanish/>
        </w:rPr>
      </w:pPr>
      <w:bookmarkStart w:id="5" w:name="PE"/>
      <w:r w:rsidRPr="00885597">
        <w:rPr>
          <w:vanish/>
        </w:rPr>
        <w:t>PE774.316</w:t>
      </w:r>
      <w:bookmarkEnd w:id="5"/>
    </w:p>
    <w:p w14:paraId="1045E258" w14:textId="3B70A647" w:rsidR="002B532E" w:rsidRPr="00885597" w:rsidRDefault="002B532E" w:rsidP="002B532E">
      <w:pPr>
        <w:pStyle w:val="ATHeading3"/>
      </w:pPr>
      <w:bookmarkStart w:id="6" w:name="Sujet"/>
      <w:r w:rsidRPr="00885597">
        <w:t>Legislativní usnesení Evropského parlamentu ze dne</w:t>
      </w:r>
      <w:r w:rsidR="006F45DA">
        <w:t xml:space="preserve"> </w:t>
      </w:r>
      <w:r w:rsidR="00247D0A">
        <w:t>10</w:t>
      </w:r>
      <w:r w:rsidR="006F45DA">
        <w:t>. února</w:t>
      </w:r>
      <w:r w:rsidRPr="00885597">
        <w:t xml:space="preserve"> 2026 o návrhu nařízení Evropského parlamentu a Rady, kterým se mění nařízení (EU) č. 1308/2013, (EU) 2021/2115 a (EU) č. 251/2014, pokud jde o některá pravidla trhu a odvětvová podpůrná opatření v odvětví vína a pro aromatizované vinné výrobky</w:t>
      </w:r>
      <w:bookmarkEnd w:id="6"/>
      <w:r w:rsidRPr="00885597">
        <w:t xml:space="preserve"> </w:t>
      </w:r>
      <w:bookmarkStart w:id="7" w:name="References"/>
      <w:r w:rsidRPr="00885597">
        <w:t>(</w:t>
      </w:r>
      <w:proofErr w:type="gramStart"/>
      <w:r w:rsidRPr="00885597">
        <w:t>COM(</w:t>
      </w:r>
      <w:proofErr w:type="gramEnd"/>
      <w:r w:rsidRPr="00885597">
        <w:t>2025)0137 – C10-0058/2025 – 2025/0071(COD))</w:t>
      </w:r>
      <w:bookmarkEnd w:id="7"/>
    </w:p>
    <w:p w14:paraId="5BAE31E8" w14:textId="1F60B50A" w:rsidR="00AA2F43" w:rsidRPr="00885597" w:rsidRDefault="00AA2F43" w:rsidP="005B3765">
      <w:pPr>
        <w:pStyle w:val="NormalBold"/>
      </w:pPr>
      <w:r w:rsidRPr="00885597">
        <w:t>(Řádný legislativní postup: první čtení)</w:t>
      </w:r>
    </w:p>
    <w:p w14:paraId="44BD856C" w14:textId="77777777" w:rsidR="00AA2F43" w:rsidRPr="00885597" w:rsidRDefault="00AA2F43" w:rsidP="00AA2F43">
      <w:pPr>
        <w:pStyle w:val="EPComma"/>
      </w:pPr>
      <w:r w:rsidRPr="00885597">
        <w:rPr>
          <w:i/>
        </w:rPr>
        <w:t>Evropský parlament</w:t>
      </w:r>
      <w:r w:rsidRPr="00885597">
        <w:t>,</w:t>
      </w:r>
    </w:p>
    <w:p w14:paraId="35B4488B" w14:textId="77777777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návrh Komise předložený Evropskému parlamentu a Radě (</w:t>
      </w:r>
      <w:proofErr w:type="gramStart"/>
      <w:r w:rsidRPr="00885597">
        <w:t>COM(</w:t>
      </w:r>
      <w:proofErr w:type="gramEnd"/>
      <w:r w:rsidRPr="00885597">
        <w:t>2025)0137),</w:t>
      </w:r>
    </w:p>
    <w:p w14:paraId="604FBAD6" w14:textId="64F8BC95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čl. 294 odst. 2, čl. 42 první odstavec a čl. 43 odst. 2 Smlouvy o fungování Evropské unie, v </w:t>
      </w:r>
      <w:proofErr w:type="gramStart"/>
      <w:r w:rsidRPr="00885597">
        <w:t>souladu</w:t>
      </w:r>
      <w:proofErr w:type="gramEnd"/>
      <w:r w:rsidRPr="00885597">
        <w:t xml:space="preserve"> </w:t>
      </w:r>
      <w:r w:rsidR="006F45DA">
        <w:t>se kterými</w:t>
      </w:r>
      <w:r w:rsidRPr="00885597">
        <w:t xml:space="preserve"> Komise předložila svůj návrh Parlamentu (C10</w:t>
      </w:r>
      <w:r w:rsidRPr="00885597">
        <w:noBreakHyphen/>
        <w:t>0058/2025),</w:t>
      </w:r>
    </w:p>
    <w:p w14:paraId="6DBF8260" w14:textId="77777777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čl. 294 odst. 3 Smlouvy o fungování Evropské unie,</w:t>
      </w:r>
    </w:p>
    <w:p w14:paraId="66F98686" w14:textId="77777777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stanovisko Evropského hospodářského a sociálního výboru ze dne 17. července 2025</w:t>
      </w:r>
      <w:r w:rsidRPr="00885597">
        <w:rPr>
          <w:rStyle w:val="FootnoteReference"/>
        </w:rPr>
        <w:footnoteReference w:id="1"/>
      </w:r>
      <w:r w:rsidRPr="00885597">
        <w:t>,</w:t>
      </w:r>
    </w:p>
    <w:p w14:paraId="0DAAA105" w14:textId="052F19BE" w:rsidR="00AA2F43" w:rsidRDefault="00AA2F43" w:rsidP="00AA2F43">
      <w:pPr>
        <w:pStyle w:val="NormalHanging12a"/>
      </w:pPr>
      <w:r w:rsidRPr="00885597">
        <w:t>–</w:t>
      </w:r>
      <w:r w:rsidRPr="00885597">
        <w:tab/>
        <w:t xml:space="preserve">s ohledem na stanovisko Výboru regionů ze dne </w:t>
      </w:r>
      <w:r w:rsidR="00247D0A">
        <w:t>2</w:t>
      </w:r>
      <w:r w:rsidRPr="00885597">
        <w:t>. července 2025</w:t>
      </w:r>
      <w:r w:rsidRPr="00885597">
        <w:rPr>
          <w:rStyle w:val="FootnoteReference"/>
        </w:rPr>
        <w:footnoteReference w:id="2"/>
      </w:r>
      <w:r w:rsidRPr="00885597">
        <w:t>,</w:t>
      </w:r>
    </w:p>
    <w:p w14:paraId="7B63AEF6" w14:textId="77777777" w:rsidR="00445216" w:rsidRDefault="003D6858" w:rsidP="00AA2F43">
      <w:pPr>
        <w:pStyle w:val="NormalHanging12a"/>
      </w:pPr>
      <w:r w:rsidRPr="003D6858">
        <w:t>–</w:t>
      </w:r>
      <w:r w:rsidRPr="003D6858">
        <w:tab/>
      </w:r>
      <w:r w:rsidRPr="00D60236">
        <w:t xml:space="preserve">s ohledem na předběžnou dohodu přijatou příslušným výborem podle čl. 75 odst. 4 jednacího řádu a s ohledem na to, že se zástupce Rady dopisem ze dne </w:t>
      </w:r>
      <w:r>
        <w:t>16</w:t>
      </w:r>
      <w:r w:rsidRPr="00D60236">
        <w:t xml:space="preserve">. </w:t>
      </w:r>
      <w:r>
        <w:t>prosince</w:t>
      </w:r>
      <w:r w:rsidRPr="00D60236">
        <w:t xml:space="preserve"> 2025 zavázal schválit postoj Parlamentu v souladu s čl. 294 odst. 4 Smlouvy o</w:t>
      </w:r>
      <w:r w:rsidRPr="00F6175C">
        <w:t> </w:t>
      </w:r>
      <w:r w:rsidRPr="00D60236">
        <w:t>fungování Evropské unie,</w:t>
      </w:r>
    </w:p>
    <w:p w14:paraId="65EFE43A" w14:textId="75272FDA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článek 60 jednacího řádu,</w:t>
      </w:r>
    </w:p>
    <w:p w14:paraId="3F1373BD" w14:textId="77777777" w:rsidR="00AA2F43" w:rsidRPr="00885597" w:rsidRDefault="00AA2F43" w:rsidP="00AA2F43">
      <w:pPr>
        <w:pStyle w:val="NormalHanging12a"/>
      </w:pPr>
      <w:r w:rsidRPr="00885597">
        <w:t>–</w:t>
      </w:r>
      <w:r w:rsidRPr="00885597">
        <w:tab/>
        <w:t>s ohledem na zprávu Výboru pro zemědělství a rozvoj venkova (A10</w:t>
      </w:r>
      <w:r w:rsidRPr="00885597">
        <w:noBreakHyphen/>
        <w:t>0220/2025),</w:t>
      </w:r>
    </w:p>
    <w:p w14:paraId="684BFE5D" w14:textId="77777777" w:rsidR="00AA2F43" w:rsidRDefault="00AA2F43" w:rsidP="00AA2F43">
      <w:pPr>
        <w:pStyle w:val="NormalHanging12a"/>
      </w:pPr>
      <w:r w:rsidRPr="00885597">
        <w:t>1.</w:t>
      </w:r>
      <w:r w:rsidRPr="00885597">
        <w:tab/>
        <w:t>přijímá níže uvedený postoj v prvním čtení;</w:t>
      </w:r>
    </w:p>
    <w:p w14:paraId="036952FA" w14:textId="5649FDCB" w:rsidR="00303ED8" w:rsidRPr="00885597" w:rsidRDefault="00303ED8" w:rsidP="00AA2F43">
      <w:pPr>
        <w:pStyle w:val="NormalHanging12a"/>
      </w:pPr>
      <w:r>
        <w:lastRenderedPageBreak/>
        <w:t>2</w:t>
      </w:r>
      <w:r w:rsidRPr="00303ED8">
        <w:t>.</w:t>
      </w:r>
      <w:r>
        <w:tab/>
      </w:r>
      <w:r w:rsidRPr="00303ED8">
        <w:t xml:space="preserve">bere na vědomí prohlášení Komise, které je přílohou tohoto usnesení a bude zveřejněno v řadě C </w:t>
      </w:r>
      <w:r w:rsidRPr="00445216">
        <w:rPr>
          <w:i/>
          <w:iCs/>
        </w:rPr>
        <w:t>Úředního věstníku Evropské unie</w:t>
      </w:r>
      <w:r w:rsidRPr="00303ED8">
        <w:t>;</w:t>
      </w:r>
    </w:p>
    <w:p w14:paraId="466A146B" w14:textId="30452914" w:rsidR="00AA2F43" w:rsidRPr="00885597" w:rsidRDefault="00303ED8" w:rsidP="00445216">
      <w:pPr>
        <w:pStyle w:val="NormalHanging12a"/>
      </w:pPr>
      <w:r>
        <w:t>3</w:t>
      </w:r>
      <w:r w:rsidR="00AA2F43" w:rsidRPr="00885597">
        <w:t>.</w:t>
      </w:r>
      <w:r w:rsidR="00AA2F43" w:rsidRPr="00885597">
        <w:tab/>
        <w:t>vyzývá Komisi, aby věc znovu postoupila Parlamentu, jestliže svůj návrh nahradí jiným textem, podstatně jej změní nebo má v úmyslu jej podstatně změnit;</w:t>
      </w:r>
    </w:p>
    <w:p w14:paraId="6E9E3684" w14:textId="64837706" w:rsidR="00AA2F43" w:rsidRDefault="00303ED8" w:rsidP="00AA2F43">
      <w:pPr>
        <w:pStyle w:val="NormalHanging12a"/>
      </w:pPr>
      <w:r>
        <w:t>4</w:t>
      </w:r>
      <w:r w:rsidR="00AA2F43" w:rsidRPr="00885597">
        <w:t>.</w:t>
      </w:r>
      <w:r w:rsidR="00AA2F43" w:rsidRPr="00885597">
        <w:tab/>
        <w:t>pověřuje svou předsedkyni, aby předala postoj Parlamentu Radě a Komisi, jakož i vnitrostátním parlamentům.</w:t>
      </w:r>
    </w:p>
    <w:p w14:paraId="766A3075" w14:textId="77777777" w:rsidR="00303ED8" w:rsidRDefault="00303ED8" w:rsidP="00AA2F43">
      <w:pPr>
        <w:pStyle w:val="NormalHanging12a"/>
      </w:pPr>
    </w:p>
    <w:p w14:paraId="461057E2" w14:textId="77777777" w:rsidR="00445216" w:rsidRDefault="00445216" w:rsidP="00AA2F43">
      <w:pPr>
        <w:pStyle w:val="NormalHanging12a"/>
        <w:sectPr w:rsidR="00445216" w:rsidSect="008855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8AF5A7" w14:textId="77777777" w:rsidR="00303ED8" w:rsidRPr="00763275" w:rsidRDefault="00303ED8" w:rsidP="00303ED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</w:t>
      </w:r>
      <w:r>
        <w:rPr>
          <w:b/>
          <w:bCs/>
          <w:color w:val="000000"/>
        </w:rPr>
        <w:t>5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071</w:t>
      </w:r>
    </w:p>
    <w:p w14:paraId="690C536D" w14:textId="428C673F" w:rsidR="00303ED8" w:rsidRPr="008B4104" w:rsidRDefault="00303ED8" w:rsidP="00445216">
      <w:pPr>
        <w:pStyle w:val="NormalHanging12a"/>
        <w:ind w:left="0" w:firstLine="0"/>
        <w:rPr>
          <w:b/>
          <w:bCs/>
        </w:rPr>
      </w:pPr>
      <w:r w:rsidRPr="00445216">
        <w:rPr>
          <w:b/>
          <w:bCs/>
        </w:rPr>
        <w:t>Postoj Evropského parlamentu přijatý v prvním čtení dne 10. února 2026 k přijetí nařízení Evropského parlamentu a Rady (EU) 2026/</w:t>
      </w:r>
      <w:r>
        <w:rPr>
          <w:b/>
          <w:bCs/>
        </w:rPr>
        <w:t>..., kterým se mění nařízen</w:t>
      </w:r>
      <w:r w:rsidR="00FE6F02">
        <w:rPr>
          <w:b/>
          <w:bCs/>
        </w:rPr>
        <w:t xml:space="preserve">í </w:t>
      </w:r>
      <w:r w:rsidRPr="00445216">
        <w:rPr>
          <w:b/>
          <w:bCs/>
        </w:rPr>
        <w:t>(EU) č. 1308/2013, (EU) č. 251/2014 a (EU) 2021/2115, pokud jde o některá pravidla trhu a odvětvová podpůrná opatření v odvětví vína a pro aromatizované vinné výrobky</w:t>
      </w:r>
      <w:r w:rsidRPr="00445216">
        <w:rPr>
          <w:b/>
          <w:bCs/>
          <w:i/>
          <w:iCs/>
        </w:rPr>
        <w:t xml:space="preserve">, </w:t>
      </w:r>
      <w:r w:rsidRPr="008B4104">
        <w:rPr>
          <w:b/>
          <w:bCs/>
        </w:rPr>
        <w:t>a nařízení (EU) 2024/1143, pokud jde o některá pravidla pro označování lihovin</w:t>
      </w:r>
    </w:p>
    <w:p w14:paraId="0549ED16" w14:textId="3E5FDF64" w:rsidR="00303ED8" w:rsidRPr="00053E91" w:rsidRDefault="008B4104" w:rsidP="008B4104">
      <w:pPr>
        <w:widowControl/>
        <w:spacing w:before="360"/>
        <w:jc w:val="both"/>
        <w:rPr>
          <w:rFonts w:eastAsia="Calibri"/>
          <w:i/>
          <w:szCs w:val="22"/>
        </w:rPr>
      </w:pPr>
      <w:r w:rsidRPr="008B4104">
        <w:rPr>
          <w:i/>
          <w:szCs w:val="24"/>
        </w:rPr>
        <w:t>(Vzhledem k tomu, že bylo dosaženo dohody mezi Parlamentem a Radou, postoj Parlamentu odpovídá konečnému znění legislativního aktu, nařízení (EU) 2026/</w:t>
      </w:r>
      <w:r>
        <w:rPr>
          <w:i/>
          <w:szCs w:val="24"/>
        </w:rPr>
        <w:t>471</w:t>
      </w:r>
      <w:r w:rsidRPr="008B4104">
        <w:rPr>
          <w:i/>
          <w:szCs w:val="24"/>
        </w:rPr>
        <w:t>.)</w:t>
      </w:r>
      <w:r w:rsidR="00303ED8" w:rsidRPr="00053E91">
        <w:rPr>
          <w:i/>
        </w:rPr>
        <w:tab/>
      </w:r>
    </w:p>
    <w:p w14:paraId="00190FEE" w14:textId="77777777" w:rsidR="00303ED8" w:rsidRPr="00053E91" w:rsidRDefault="00303ED8" w:rsidP="00053E91"/>
    <w:p w14:paraId="504A6A97" w14:textId="77777777" w:rsidR="00EE226F" w:rsidRDefault="00EE226F" w:rsidP="00053E91">
      <w:pPr>
        <w:keepNext/>
        <w:spacing w:before="360" w:line="360" w:lineRule="auto"/>
        <w:jc w:val="center"/>
        <w:sectPr w:rsidR="00EE226F" w:rsidSect="0088559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53CEB8F" w14:textId="51E806E2" w:rsidR="009F795D" w:rsidRDefault="009F795D" w:rsidP="00EE226F">
      <w:pPr>
        <w:widowControl/>
        <w:jc w:val="right"/>
      </w:pPr>
      <w:r>
        <w:lastRenderedPageBreak/>
        <w:t>PŘÍLOHA K LEGISLATIVNÍMU USNESENÍ</w:t>
      </w:r>
    </w:p>
    <w:p w14:paraId="304ACCA4" w14:textId="77777777" w:rsidR="00EE226F" w:rsidRDefault="00EE226F" w:rsidP="00EE226F">
      <w:pPr>
        <w:widowControl/>
        <w:jc w:val="right"/>
      </w:pPr>
    </w:p>
    <w:p w14:paraId="5C174C9A" w14:textId="77777777" w:rsidR="00EE226F" w:rsidRDefault="00EE226F" w:rsidP="00EE226F">
      <w:pPr>
        <w:widowControl/>
        <w:jc w:val="right"/>
      </w:pPr>
    </w:p>
    <w:p w14:paraId="3DEBEDD5" w14:textId="55E9870D" w:rsidR="00303ED8" w:rsidRPr="00303ED8" w:rsidRDefault="00303ED8" w:rsidP="00EE226F">
      <w:pPr>
        <w:spacing w:before="600" w:after="120" w:line="360" w:lineRule="auto"/>
        <w:contextualSpacing/>
        <w:jc w:val="center"/>
        <w:rPr>
          <w:i/>
          <w:szCs w:val="24"/>
        </w:rPr>
      </w:pPr>
      <w:r w:rsidRPr="00303ED8">
        <w:rPr>
          <w:color w:val="000000"/>
          <w:szCs w:val="24"/>
        </w:rPr>
        <w:t>Prohlášení Komise u příležitosti přijetí nařízení Evropského parlamentu a Rady (EU) 2026/</w:t>
      </w:r>
      <w:r w:rsidR="008B4104">
        <w:rPr>
          <w:color w:val="000000"/>
          <w:szCs w:val="24"/>
        </w:rPr>
        <w:t xml:space="preserve">471 ze dne 24. února </w:t>
      </w:r>
      <w:r w:rsidR="008B4104" w:rsidRPr="008B4104">
        <w:rPr>
          <w:color w:val="000000"/>
          <w:szCs w:val="24"/>
        </w:rPr>
        <w:t>2026</w:t>
      </w:r>
      <w:r w:rsidR="008B4104" w:rsidRPr="008B4104">
        <w:rPr>
          <w:rStyle w:val="FootnoteReference"/>
          <w:rFonts w:eastAsia="Aptos"/>
          <w:kern w:val="2"/>
          <w:szCs w:val="24"/>
          <w:lang w:eastAsia="en-US"/>
          <w14:ligatures w14:val="standardContextual"/>
        </w:rPr>
        <w:footnoteReference w:id="3"/>
      </w:r>
      <w:r w:rsidRPr="008B4104">
        <w:rPr>
          <w:color w:val="000000"/>
          <w:szCs w:val="24"/>
        </w:rPr>
        <w:t>, kterým se</w:t>
      </w:r>
      <w:r w:rsidRPr="00303ED8">
        <w:rPr>
          <w:color w:val="000000"/>
          <w:szCs w:val="24"/>
        </w:rPr>
        <w:t xml:space="preserve"> mění nařízení (EU) č. 1308/2013, (EU) č. 251/2014 a (EU) 2021/2115, pokud jde o některá pravidla trhu a odvětvová podpůrná opatření v odvětví vína a pro aromatizované vinné výrobky, a nařízení (EU) 2024/1143, pokud jde o</w:t>
      </w:r>
      <w:r w:rsidR="00E40BB8" w:rsidRPr="00303ED8">
        <w:rPr>
          <w:iCs/>
          <w:szCs w:val="24"/>
        </w:rPr>
        <w:t> </w:t>
      </w:r>
      <w:r w:rsidRPr="00303ED8">
        <w:rPr>
          <w:color w:val="000000"/>
          <w:szCs w:val="24"/>
        </w:rPr>
        <w:t>některá pravidla pro označování lihovin</w:t>
      </w:r>
    </w:p>
    <w:p w14:paraId="3FA1A973" w14:textId="54E817DF" w:rsidR="00303ED8" w:rsidRPr="00303ED8" w:rsidRDefault="00303ED8" w:rsidP="00E40BB8">
      <w:pPr>
        <w:spacing w:before="360" w:after="120" w:line="360" w:lineRule="auto"/>
        <w:rPr>
          <w:iCs/>
          <w:szCs w:val="24"/>
        </w:rPr>
      </w:pPr>
      <w:r w:rsidRPr="00303ED8">
        <w:rPr>
          <w:iCs/>
          <w:szCs w:val="24"/>
        </w:rPr>
        <w:t>Komise vynaloží veškeré úsilí, aby v roce 2026 předložila příslušné expertní skupině nebo výboru:</w:t>
      </w:r>
    </w:p>
    <w:p w14:paraId="51C07E22" w14:textId="77777777" w:rsidR="00303ED8" w:rsidRPr="00303ED8" w:rsidRDefault="00303ED8" w:rsidP="00445216">
      <w:pPr>
        <w:widowControl/>
        <w:numPr>
          <w:ilvl w:val="0"/>
          <w:numId w:val="24"/>
        </w:numPr>
        <w:spacing w:before="120" w:after="120" w:line="360" w:lineRule="auto"/>
        <w:ind w:left="851" w:hanging="851"/>
        <w:contextualSpacing/>
        <w:rPr>
          <w:iCs/>
          <w:szCs w:val="24"/>
        </w:rPr>
      </w:pPr>
      <w:r w:rsidRPr="00303ED8">
        <w:rPr>
          <w:iCs/>
          <w:szCs w:val="24"/>
        </w:rPr>
        <w:t xml:space="preserve">návrh prováděcího aktu za účelem změny nařízení (EU) 2018/274, pokud jde o možnost rozšířit uplatňování </w:t>
      </w:r>
      <w:r w:rsidRPr="00303ED8">
        <w:rPr>
          <w:b/>
          <w:iCs/>
          <w:szCs w:val="24"/>
        </w:rPr>
        <w:t>zjednodušeného postupu udělování povolení pro opětovnou výsadbu</w:t>
      </w:r>
      <w:r w:rsidRPr="00303ED8">
        <w:rPr>
          <w:iCs/>
          <w:szCs w:val="24"/>
        </w:rPr>
        <w:t xml:space="preserve"> stanoveného v článku 9 uvedeného nařízení;</w:t>
      </w:r>
    </w:p>
    <w:p w14:paraId="60B3B1F8" w14:textId="77777777" w:rsidR="00303ED8" w:rsidRPr="00303ED8" w:rsidRDefault="00303ED8" w:rsidP="00445216">
      <w:pPr>
        <w:widowControl/>
        <w:numPr>
          <w:ilvl w:val="0"/>
          <w:numId w:val="24"/>
        </w:numPr>
        <w:spacing w:before="120" w:after="120" w:line="360" w:lineRule="auto"/>
        <w:ind w:left="851" w:hanging="851"/>
        <w:contextualSpacing/>
        <w:rPr>
          <w:iCs/>
          <w:szCs w:val="24"/>
        </w:rPr>
      </w:pPr>
      <w:r w:rsidRPr="00303ED8">
        <w:rPr>
          <w:iCs/>
          <w:szCs w:val="24"/>
        </w:rPr>
        <w:t xml:space="preserve">návrh změny nařízení Komise v přenesené pravomoci (EU) 2019/33 za účelem vytvoření systému Unie pro uvádění </w:t>
      </w:r>
      <w:r w:rsidRPr="00303ED8">
        <w:rPr>
          <w:b/>
          <w:iCs/>
          <w:szCs w:val="24"/>
        </w:rPr>
        <w:t>elektronických prostředků</w:t>
      </w:r>
      <w:r w:rsidRPr="00303ED8">
        <w:rPr>
          <w:iCs/>
          <w:szCs w:val="24"/>
        </w:rPr>
        <w:t xml:space="preserve"> na obalu nebo etiketě výrobků z révy vinné, jak je uvedeno v čl. 119 odst. 4 a 5 nařízení (EU) č. 1308/2013;</w:t>
      </w:r>
    </w:p>
    <w:p w14:paraId="68BF6C34" w14:textId="77777777" w:rsidR="00303ED8" w:rsidRPr="00303ED8" w:rsidRDefault="00303ED8" w:rsidP="00445216">
      <w:pPr>
        <w:widowControl/>
        <w:numPr>
          <w:ilvl w:val="0"/>
          <w:numId w:val="24"/>
        </w:numPr>
        <w:spacing w:before="120" w:after="120" w:line="360" w:lineRule="auto"/>
        <w:ind w:left="851" w:hanging="851"/>
        <w:contextualSpacing/>
        <w:rPr>
          <w:iCs/>
          <w:szCs w:val="24"/>
        </w:rPr>
      </w:pPr>
      <w:r w:rsidRPr="00303ED8">
        <w:rPr>
          <w:iCs/>
          <w:szCs w:val="24"/>
        </w:rPr>
        <w:t xml:space="preserve">návrh změny nařízení Komise v přenesené pravomoci (EU) 2019/934 s cílem zahrnout do </w:t>
      </w:r>
      <w:r w:rsidRPr="00303ED8">
        <w:rPr>
          <w:b/>
          <w:iCs/>
          <w:szCs w:val="24"/>
        </w:rPr>
        <w:t>definice „scelování“</w:t>
      </w:r>
      <w:r w:rsidRPr="00303ED8">
        <w:rPr>
          <w:iCs/>
          <w:szCs w:val="24"/>
        </w:rPr>
        <w:t xml:space="preserve"> („míchání“) možnost míchat zcela nebo částečně </w:t>
      </w:r>
      <w:proofErr w:type="spellStart"/>
      <w:r w:rsidRPr="00303ED8">
        <w:rPr>
          <w:iCs/>
          <w:szCs w:val="24"/>
        </w:rPr>
        <w:t>dealkoholizovaná</w:t>
      </w:r>
      <w:proofErr w:type="spellEnd"/>
      <w:r w:rsidRPr="00303ED8">
        <w:rPr>
          <w:iCs/>
          <w:szCs w:val="24"/>
        </w:rPr>
        <w:t xml:space="preserve"> vína s tichými víny za účelem výroby částečně </w:t>
      </w:r>
      <w:proofErr w:type="spellStart"/>
      <w:r w:rsidRPr="00303ED8">
        <w:rPr>
          <w:iCs/>
          <w:szCs w:val="24"/>
        </w:rPr>
        <w:t>dealkoholizovaných</w:t>
      </w:r>
      <w:proofErr w:type="spellEnd"/>
      <w:r w:rsidRPr="00303ED8">
        <w:rPr>
          <w:iCs/>
          <w:szCs w:val="24"/>
        </w:rPr>
        <w:t xml:space="preserve"> vín;</w:t>
      </w:r>
    </w:p>
    <w:p w14:paraId="732B456C" w14:textId="24D37F50" w:rsidR="00E365E1" w:rsidRPr="00885597" w:rsidRDefault="00303ED8" w:rsidP="00445216">
      <w:pPr>
        <w:widowControl/>
        <w:numPr>
          <w:ilvl w:val="0"/>
          <w:numId w:val="24"/>
        </w:numPr>
        <w:spacing w:before="120" w:after="120" w:line="360" w:lineRule="auto"/>
        <w:ind w:left="851" w:hanging="851"/>
        <w:contextualSpacing/>
      </w:pPr>
      <w:r w:rsidRPr="00E40BB8">
        <w:rPr>
          <w:iCs/>
          <w:szCs w:val="24"/>
        </w:rPr>
        <w:t xml:space="preserve">návrh aktu v přenesené pravomoci za účelem stanovení podmínek pro </w:t>
      </w:r>
      <w:r w:rsidRPr="00E40BB8">
        <w:rPr>
          <w:b/>
          <w:iCs/>
          <w:szCs w:val="24"/>
        </w:rPr>
        <w:t>klučení opuštěných vinic</w:t>
      </w:r>
      <w:r w:rsidRPr="00E40BB8">
        <w:rPr>
          <w:iCs/>
          <w:szCs w:val="24"/>
        </w:rPr>
        <w:t xml:space="preserve"> podle nového čl. 62 odst. 6 nařízení (EU) č. 1308/2013.</w:t>
      </w:r>
    </w:p>
    <w:sectPr w:rsidR="00E365E1" w:rsidRPr="00885597" w:rsidSect="008855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BDF3A" w14:textId="77777777" w:rsidR="002B532E" w:rsidRPr="00885597" w:rsidRDefault="002B532E">
      <w:r w:rsidRPr="00885597">
        <w:separator/>
      </w:r>
    </w:p>
  </w:endnote>
  <w:endnote w:type="continuationSeparator" w:id="0">
    <w:p w14:paraId="26192A07" w14:textId="77777777" w:rsidR="002B532E" w:rsidRPr="00885597" w:rsidRDefault="002B532E">
      <w:r w:rsidRPr="008855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43E8" w14:textId="77777777" w:rsidR="00064002" w:rsidRPr="008855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CBD9" w14:textId="77777777" w:rsidR="00064002" w:rsidRPr="008855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D101" w14:textId="77777777" w:rsidR="00064002" w:rsidRPr="008855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A6F6" w14:textId="77777777" w:rsidR="002B532E" w:rsidRPr="00885597" w:rsidRDefault="002B532E">
      <w:r w:rsidRPr="00885597">
        <w:separator/>
      </w:r>
    </w:p>
  </w:footnote>
  <w:footnote w:type="continuationSeparator" w:id="0">
    <w:p w14:paraId="6C9AA8AC" w14:textId="77777777" w:rsidR="002B532E" w:rsidRPr="00885597" w:rsidRDefault="002B532E">
      <w:r w:rsidRPr="00885597">
        <w:continuationSeparator/>
      </w:r>
    </w:p>
  </w:footnote>
  <w:footnote w:id="1">
    <w:p w14:paraId="13FCFD29" w14:textId="293E696C" w:rsidR="00AA2F43" w:rsidRPr="00FE6F02" w:rsidRDefault="00AA2F43" w:rsidP="00E40BB8">
      <w:pPr>
        <w:pStyle w:val="FootnoteText"/>
        <w:ind w:left="567" w:hanging="567"/>
        <w:rPr>
          <w:sz w:val="24"/>
          <w:szCs w:val="24"/>
          <w:lang w:val="cs-CZ"/>
        </w:rPr>
      </w:pPr>
      <w:r w:rsidRPr="00FE6F02">
        <w:rPr>
          <w:rStyle w:val="FootnoteReference"/>
          <w:sz w:val="24"/>
          <w:szCs w:val="24"/>
          <w:lang w:val="cs-CZ"/>
        </w:rPr>
        <w:footnoteRef/>
      </w:r>
      <w:r w:rsidR="00885597" w:rsidRPr="00FE6F02">
        <w:rPr>
          <w:sz w:val="24"/>
          <w:szCs w:val="24"/>
          <w:lang w:val="cs-CZ"/>
        </w:rPr>
        <w:t xml:space="preserve"> </w:t>
      </w:r>
      <w:r w:rsidR="00885597" w:rsidRPr="00FE6F02">
        <w:rPr>
          <w:sz w:val="24"/>
          <w:szCs w:val="24"/>
          <w:lang w:val="cs-CZ"/>
        </w:rPr>
        <w:tab/>
      </w:r>
      <w:proofErr w:type="spellStart"/>
      <w:r w:rsidRPr="00FE6F02">
        <w:rPr>
          <w:sz w:val="24"/>
          <w:szCs w:val="24"/>
          <w:lang w:val="cs-CZ"/>
        </w:rPr>
        <w:t>Úř</w:t>
      </w:r>
      <w:proofErr w:type="spellEnd"/>
      <w:r w:rsidRPr="00FE6F02">
        <w:rPr>
          <w:sz w:val="24"/>
          <w:szCs w:val="24"/>
          <w:lang w:val="cs-CZ"/>
        </w:rPr>
        <w:t xml:space="preserve">. </w:t>
      </w:r>
      <w:proofErr w:type="spellStart"/>
      <w:r w:rsidRPr="00FE6F02">
        <w:rPr>
          <w:sz w:val="24"/>
          <w:szCs w:val="24"/>
          <w:lang w:val="cs-CZ"/>
        </w:rPr>
        <w:t>věst</w:t>
      </w:r>
      <w:proofErr w:type="spellEnd"/>
      <w:r w:rsidRPr="00FE6F02">
        <w:rPr>
          <w:sz w:val="24"/>
          <w:szCs w:val="24"/>
          <w:lang w:val="cs-CZ"/>
        </w:rPr>
        <w:t>. C, C/202</w:t>
      </w:r>
      <w:r w:rsidR="00247D0A" w:rsidRPr="00FE6F02">
        <w:rPr>
          <w:sz w:val="24"/>
          <w:szCs w:val="24"/>
          <w:lang w:val="cs-CZ"/>
        </w:rPr>
        <w:t>5</w:t>
      </w:r>
      <w:r w:rsidRPr="00FE6F02">
        <w:rPr>
          <w:sz w:val="24"/>
          <w:szCs w:val="24"/>
          <w:lang w:val="cs-CZ"/>
        </w:rPr>
        <w:t>/</w:t>
      </w:r>
      <w:r w:rsidR="00247D0A" w:rsidRPr="00FE6F02">
        <w:rPr>
          <w:sz w:val="24"/>
          <w:szCs w:val="24"/>
          <w:lang w:val="cs-CZ"/>
        </w:rPr>
        <w:t>5161</w:t>
      </w:r>
      <w:r w:rsidRPr="00FE6F02">
        <w:rPr>
          <w:sz w:val="24"/>
          <w:szCs w:val="24"/>
          <w:lang w:val="cs-CZ"/>
        </w:rPr>
        <w:t xml:space="preserve">, </w:t>
      </w:r>
      <w:r w:rsidR="00630799" w:rsidRPr="00FE6F02">
        <w:rPr>
          <w:sz w:val="24"/>
          <w:szCs w:val="24"/>
          <w:lang w:val="cs-CZ"/>
        </w:rPr>
        <w:t>28.10.2025</w:t>
      </w:r>
      <w:r w:rsidRPr="00FE6F02">
        <w:rPr>
          <w:sz w:val="24"/>
          <w:szCs w:val="24"/>
          <w:lang w:val="cs-CZ"/>
        </w:rPr>
        <w:t xml:space="preserve">, ELI: </w:t>
      </w:r>
      <w:hyperlink r:id="rId1" w:history="1">
        <w:r w:rsidRPr="00FE6F02">
          <w:rPr>
            <w:rStyle w:val="Hyperlink"/>
            <w:sz w:val="24"/>
            <w:szCs w:val="24"/>
            <w:lang w:val="cs-CZ"/>
          </w:rPr>
          <w:t>http://data.europa.eu/eli/C/202</w:t>
        </w:r>
        <w:r w:rsidR="00247D0A" w:rsidRPr="00FE6F02">
          <w:rPr>
            <w:rStyle w:val="Hyperlink"/>
            <w:sz w:val="24"/>
            <w:szCs w:val="24"/>
            <w:lang w:val="cs-CZ"/>
          </w:rPr>
          <w:t>5</w:t>
        </w:r>
        <w:r w:rsidRPr="00FE6F02">
          <w:rPr>
            <w:rStyle w:val="Hyperlink"/>
            <w:sz w:val="24"/>
            <w:szCs w:val="24"/>
            <w:lang w:val="cs-CZ"/>
          </w:rPr>
          <w:t>/</w:t>
        </w:r>
        <w:r w:rsidR="00247D0A" w:rsidRPr="00FE6F02">
          <w:rPr>
            <w:rStyle w:val="Hyperlink"/>
            <w:sz w:val="24"/>
            <w:szCs w:val="24"/>
            <w:lang w:val="cs-CZ"/>
          </w:rPr>
          <w:t>5161</w:t>
        </w:r>
        <w:r w:rsidRPr="00FE6F02">
          <w:rPr>
            <w:rStyle w:val="Hyperlink"/>
            <w:sz w:val="24"/>
            <w:szCs w:val="24"/>
            <w:lang w:val="cs-CZ"/>
          </w:rPr>
          <w:t>/oj</w:t>
        </w:r>
      </w:hyperlink>
      <w:r w:rsidRPr="00FE6F02">
        <w:rPr>
          <w:sz w:val="24"/>
          <w:szCs w:val="24"/>
          <w:lang w:val="cs-CZ"/>
        </w:rPr>
        <w:t>.</w:t>
      </w:r>
    </w:p>
  </w:footnote>
  <w:footnote w:id="2">
    <w:p w14:paraId="6B88D8D2" w14:textId="62D72C2A" w:rsidR="00AA2F43" w:rsidRPr="00FE6F02" w:rsidRDefault="00AA2F43" w:rsidP="00E40BB8">
      <w:pPr>
        <w:pStyle w:val="FootnoteText"/>
        <w:ind w:left="567" w:hanging="567"/>
        <w:rPr>
          <w:sz w:val="24"/>
          <w:szCs w:val="24"/>
          <w:lang w:val="cs-CZ"/>
        </w:rPr>
      </w:pPr>
      <w:r w:rsidRPr="00FE6F02">
        <w:rPr>
          <w:rStyle w:val="FootnoteReference"/>
          <w:sz w:val="24"/>
          <w:szCs w:val="24"/>
          <w:lang w:val="cs-CZ"/>
        </w:rPr>
        <w:footnoteRef/>
      </w:r>
      <w:r w:rsidR="00885597" w:rsidRPr="00FE6F02">
        <w:rPr>
          <w:sz w:val="24"/>
          <w:szCs w:val="24"/>
          <w:lang w:val="cs-CZ"/>
        </w:rPr>
        <w:t xml:space="preserve"> </w:t>
      </w:r>
      <w:r w:rsidR="00885597" w:rsidRPr="00FE6F02">
        <w:rPr>
          <w:sz w:val="24"/>
          <w:szCs w:val="24"/>
          <w:lang w:val="cs-CZ"/>
        </w:rPr>
        <w:tab/>
      </w:r>
      <w:proofErr w:type="spellStart"/>
      <w:r w:rsidRPr="00FE6F02">
        <w:rPr>
          <w:sz w:val="24"/>
          <w:szCs w:val="24"/>
          <w:lang w:val="cs-CZ"/>
        </w:rPr>
        <w:t>Úř</w:t>
      </w:r>
      <w:proofErr w:type="spellEnd"/>
      <w:r w:rsidRPr="00FE6F02">
        <w:rPr>
          <w:sz w:val="24"/>
          <w:szCs w:val="24"/>
          <w:lang w:val="cs-CZ"/>
        </w:rPr>
        <w:t xml:space="preserve">. </w:t>
      </w:r>
      <w:proofErr w:type="spellStart"/>
      <w:r w:rsidRPr="00FE6F02">
        <w:rPr>
          <w:sz w:val="24"/>
          <w:szCs w:val="24"/>
          <w:lang w:val="cs-CZ"/>
        </w:rPr>
        <w:t>věst</w:t>
      </w:r>
      <w:proofErr w:type="spellEnd"/>
      <w:r w:rsidRPr="00FE6F02">
        <w:rPr>
          <w:sz w:val="24"/>
          <w:szCs w:val="24"/>
          <w:lang w:val="cs-CZ"/>
        </w:rPr>
        <w:t>. C, C/202</w:t>
      </w:r>
      <w:r w:rsidR="00247D0A" w:rsidRPr="00FE6F02">
        <w:rPr>
          <w:sz w:val="24"/>
          <w:szCs w:val="24"/>
          <w:lang w:val="cs-CZ"/>
        </w:rPr>
        <w:t>5</w:t>
      </w:r>
      <w:r w:rsidRPr="00FE6F02">
        <w:rPr>
          <w:sz w:val="24"/>
          <w:szCs w:val="24"/>
          <w:lang w:val="cs-CZ"/>
        </w:rPr>
        <w:t>/</w:t>
      </w:r>
      <w:r w:rsidR="00247D0A" w:rsidRPr="00FE6F02">
        <w:rPr>
          <w:sz w:val="24"/>
          <w:szCs w:val="24"/>
          <w:lang w:val="cs-CZ"/>
        </w:rPr>
        <w:t>4418</w:t>
      </w:r>
      <w:r w:rsidRPr="00FE6F02">
        <w:rPr>
          <w:sz w:val="24"/>
          <w:szCs w:val="24"/>
          <w:lang w:val="cs-CZ"/>
        </w:rPr>
        <w:t xml:space="preserve">, </w:t>
      </w:r>
      <w:r w:rsidR="00247D0A" w:rsidRPr="00FE6F02">
        <w:rPr>
          <w:sz w:val="24"/>
          <w:szCs w:val="24"/>
          <w:lang w:val="cs-CZ"/>
        </w:rPr>
        <w:t>29.8.2025</w:t>
      </w:r>
      <w:r w:rsidRPr="00FE6F02">
        <w:rPr>
          <w:sz w:val="24"/>
          <w:szCs w:val="24"/>
          <w:lang w:val="cs-CZ"/>
        </w:rPr>
        <w:t xml:space="preserve">, ELI: </w:t>
      </w:r>
      <w:hyperlink r:id="rId2" w:history="1">
        <w:r w:rsidRPr="00FE6F02">
          <w:rPr>
            <w:rStyle w:val="Hyperlink"/>
            <w:sz w:val="24"/>
            <w:szCs w:val="24"/>
            <w:lang w:val="cs-CZ"/>
          </w:rPr>
          <w:t>http://data.europa.eu/eli/C/202</w:t>
        </w:r>
        <w:r w:rsidR="00247D0A" w:rsidRPr="00FE6F02">
          <w:rPr>
            <w:rStyle w:val="Hyperlink"/>
            <w:sz w:val="24"/>
            <w:szCs w:val="24"/>
            <w:lang w:val="cs-CZ"/>
          </w:rPr>
          <w:t>5</w:t>
        </w:r>
        <w:r w:rsidRPr="00FE6F02">
          <w:rPr>
            <w:rStyle w:val="Hyperlink"/>
            <w:sz w:val="24"/>
            <w:szCs w:val="24"/>
            <w:lang w:val="cs-CZ"/>
          </w:rPr>
          <w:t>/</w:t>
        </w:r>
        <w:r w:rsidR="00247D0A" w:rsidRPr="00FE6F02">
          <w:rPr>
            <w:rStyle w:val="Hyperlink"/>
            <w:sz w:val="24"/>
            <w:szCs w:val="24"/>
            <w:lang w:val="cs-CZ"/>
          </w:rPr>
          <w:t>4418</w:t>
        </w:r>
        <w:r w:rsidRPr="00FE6F02">
          <w:rPr>
            <w:rStyle w:val="Hyperlink"/>
            <w:sz w:val="24"/>
            <w:szCs w:val="24"/>
            <w:lang w:val="cs-CZ"/>
          </w:rPr>
          <w:t>/oj</w:t>
        </w:r>
      </w:hyperlink>
      <w:r w:rsidRPr="00FE6F02">
        <w:rPr>
          <w:sz w:val="24"/>
          <w:szCs w:val="24"/>
          <w:lang w:val="cs-CZ"/>
        </w:rPr>
        <w:t>.</w:t>
      </w:r>
    </w:p>
  </w:footnote>
  <w:footnote w:id="3">
    <w:p w14:paraId="2685FB22" w14:textId="652BCB64" w:rsidR="008B4104" w:rsidRPr="00DF2A5E" w:rsidRDefault="008B4104" w:rsidP="008B4104">
      <w:pPr>
        <w:pStyle w:val="FootnoteText"/>
        <w:ind w:left="851" w:hanging="851"/>
        <w:rPr>
          <w:sz w:val="24"/>
          <w:szCs w:val="24"/>
          <w:lang w:val="sk-SK"/>
        </w:rPr>
      </w:pPr>
      <w:r w:rsidRPr="008B4104">
        <w:rPr>
          <w:rStyle w:val="FootnoteReference"/>
          <w:sz w:val="24"/>
          <w:szCs w:val="24"/>
        </w:rPr>
        <w:footnoteRef/>
      </w:r>
      <w:r w:rsidRPr="008B4104">
        <w:rPr>
          <w:sz w:val="24"/>
          <w:szCs w:val="24"/>
          <w:lang w:val="fi-FI"/>
        </w:rPr>
        <w:t xml:space="preserve"> </w:t>
      </w:r>
      <w:r w:rsidRPr="008B4104">
        <w:rPr>
          <w:sz w:val="24"/>
          <w:szCs w:val="24"/>
          <w:lang w:val="sk-SK"/>
        </w:rPr>
        <w:tab/>
      </w:r>
      <w:proofErr w:type="spellStart"/>
      <w:r>
        <w:rPr>
          <w:sz w:val="24"/>
          <w:szCs w:val="24"/>
          <w:lang w:val="sk-SK"/>
        </w:rPr>
        <w:t>Úř</w:t>
      </w:r>
      <w:proofErr w:type="spellEnd"/>
      <w:r>
        <w:rPr>
          <w:sz w:val="24"/>
          <w:szCs w:val="24"/>
          <w:lang w:val="sk-SK"/>
        </w:rPr>
        <w:t xml:space="preserve">. </w:t>
      </w:r>
      <w:proofErr w:type="spellStart"/>
      <w:r>
        <w:rPr>
          <w:sz w:val="24"/>
          <w:szCs w:val="24"/>
          <w:lang w:val="sk-SK"/>
        </w:rPr>
        <w:t>věst</w:t>
      </w:r>
      <w:proofErr w:type="spellEnd"/>
      <w:r>
        <w:rPr>
          <w:sz w:val="24"/>
          <w:szCs w:val="24"/>
          <w:lang w:val="sk-SK"/>
        </w:rPr>
        <w:t>.</w:t>
      </w:r>
      <w:r w:rsidRPr="008B4104">
        <w:rPr>
          <w:sz w:val="24"/>
          <w:szCs w:val="24"/>
          <w:lang w:val="sk-SK"/>
        </w:rPr>
        <w:t xml:space="preserve"> L, 2026/471, 26.2.2026, ELI: </w:t>
      </w:r>
      <w:hyperlink r:id="rId3" w:history="1">
        <w:r w:rsidRPr="008B4104">
          <w:rPr>
            <w:rStyle w:val="Hyperlink"/>
            <w:sz w:val="24"/>
            <w:szCs w:val="24"/>
            <w:lang w:val="sk-SK"/>
          </w:rPr>
          <w:t>http://data.europa.eu/eli/reg/2026/471/oj</w:t>
        </w:r>
      </w:hyperlink>
      <w:r w:rsidRPr="008B4104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4CA3" w14:textId="77777777" w:rsidR="00064002" w:rsidRPr="008855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6703E" w14:textId="77777777" w:rsidR="00064002" w:rsidRPr="008855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FE0F" w14:textId="77777777" w:rsidR="00064002" w:rsidRPr="008855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73327667">
    <w:abstractNumId w:val="0"/>
  </w:num>
  <w:num w:numId="2" w16cid:durableId="680854824">
    <w:abstractNumId w:val="7"/>
  </w:num>
  <w:num w:numId="3" w16cid:durableId="1756397348">
    <w:abstractNumId w:val="4"/>
  </w:num>
  <w:num w:numId="4" w16cid:durableId="1281111975">
    <w:abstractNumId w:val="11"/>
  </w:num>
  <w:num w:numId="5" w16cid:durableId="1620142436">
    <w:abstractNumId w:val="15"/>
  </w:num>
  <w:num w:numId="6" w16cid:durableId="1035424600">
    <w:abstractNumId w:val="13"/>
  </w:num>
  <w:num w:numId="7" w16cid:durableId="8607498">
    <w:abstractNumId w:val="22"/>
  </w:num>
  <w:num w:numId="8" w16cid:durableId="483277520">
    <w:abstractNumId w:val="8"/>
  </w:num>
  <w:num w:numId="9" w16cid:durableId="1304001516">
    <w:abstractNumId w:val="9"/>
  </w:num>
  <w:num w:numId="10" w16cid:durableId="634945100">
    <w:abstractNumId w:val="10"/>
  </w:num>
  <w:num w:numId="11" w16cid:durableId="1211645490">
    <w:abstractNumId w:val="12"/>
  </w:num>
  <w:num w:numId="12" w16cid:durableId="389381493">
    <w:abstractNumId w:val="5"/>
  </w:num>
  <w:num w:numId="13" w16cid:durableId="1278874302">
    <w:abstractNumId w:val="23"/>
  </w:num>
  <w:num w:numId="14" w16cid:durableId="1451902105">
    <w:abstractNumId w:val="6"/>
  </w:num>
  <w:num w:numId="15" w16cid:durableId="1953827648">
    <w:abstractNumId w:val="2"/>
  </w:num>
  <w:num w:numId="16" w16cid:durableId="34743300">
    <w:abstractNumId w:val="1"/>
  </w:num>
  <w:num w:numId="17" w16cid:durableId="499976417">
    <w:abstractNumId w:val="18"/>
  </w:num>
  <w:num w:numId="18" w16cid:durableId="1221282285">
    <w:abstractNumId w:val="17"/>
  </w:num>
  <w:num w:numId="19" w16cid:durableId="69080053">
    <w:abstractNumId w:val="16"/>
  </w:num>
  <w:num w:numId="20" w16cid:durableId="68038876">
    <w:abstractNumId w:val="20"/>
  </w:num>
  <w:num w:numId="21" w16cid:durableId="363940891">
    <w:abstractNumId w:val="19"/>
  </w:num>
  <w:num w:numId="22" w16cid:durableId="2083216992">
    <w:abstractNumId w:val="21"/>
  </w:num>
  <w:num w:numId="23" w16cid:durableId="297538684">
    <w:abstractNumId w:val="3"/>
  </w:num>
  <w:num w:numId="24" w16cid:durableId="886338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CS"/>
    <w:docVar w:name="dvnumam" w:val="91"/>
    <w:docVar w:name="dvpe" w:val="774.316"/>
    <w:docVar w:name="dvrapporteur" w:val="Zpravodajka: "/>
    <w:docVar w:name="dvstar" w:val="***I"/>
    <w:docVar w:name="dvtitre" w:val="Legislativní usnesení Evropského parlamentu ze dne.... 2026 o návrhu nařízení Evropského parlamentu a Rady, kterým se mění nařízení (EU) č. 1308/2013, (EU) 2021/2115 a (EU) č. 251/2014, pokud jde o některá pravidla trhu a odvětvová podpůrná opatření v odvětví vína a pro aromatizované vinné výrobky(COM(2025)0137 – C10-0058/2025 – 2025/0071(COD))"/>
  </w:docVars>
  <w:rsids>
    <w:rsidRoot w:val="002B532E"/>
    <w:rsid w:val="00002272"/>
    <w:rsid w:val="00010AE3"/>
    <w:rsid w:val="00064002"/>
    <w:rsid w:val="000677B9"/>
    <w:rsid w:val="000831BA"/>
    <w:rsid w:val="000A42CC"/>
    <w:rsid w:val="000E7DD9"/>
    <w:rsid w:val="000F110E"/>
    <w:rsid w:val="0010095E"/>
    <w:rsid w:val="00125B37"/>
    <w:rsid w:val="00187494"/>
    <w:rsid w:val="001E7318"/>
    <w:rsid w:val="001F32AE"/>
    <w:rsid w:val="002346FD"/>
    <w:rsid w:val="00247D0A"/>
    <w:rsid w:val="002543A7"/>
    <w:rsid w:val="002767FF"/>
    <w:rsid w:val="002A7A65"/>
    <w:rsid w:val="002B18FE"/>
    <w:rsid w:val="002B532E"/>
    <w:rsid w:val="002B5493"/>
    <w:rsid w:val="002B7457"/>
    <w:rsid w:val="00303ED8"/>
    <w:rsid w:val="00343214"/>
    <w:rsid w:val="00361C00"/>
    <w:rsid w:val="00395FA1"/>
    <w:rsid w:val="003D6858"/>
    <w:rsid w:val="003E15D4"/>
    <w:rsid w:val="00411CCE"/>
    <w:rsid w:val="0041666E"/>
    <w:rsid w:val="00421060"/>
    <w:rsid w:val="00445216"/>
    <w:rsid w:val="00471C19"/>
    <w:rsid w:val="004867E3"/>
    <w:rsid w:val="00494A28"/>
    <w:rsid w:val="004A1196"/>
    <w:rsid w:val="004C0004"/>
    <w:rsid w:val="004C5D52"/>
    <w:rsid w:val="0050519A"/>
    <w:rsid w:val="005072A1"/>
    <w:rsid w:val="00514517"/>
    <w:rsid w:val="00545827"/>
    <w:rsid w:val="005508AA"/>
    <w:rsid w:val="00560270"/>
    <w:rsid w:val="005B3765"/>
    <w:rsid w:val="005C2568"/>
    <w:rsid w:val="005F1B17"/>
    <w:rsid w:val="006037C0"/>
    <w:rsid w:val="00630799"/>
    <w:rsid w:val="006631B6"/>
    <w:rsid w:val="00680577"/>
    <w:rsid w:val="006F45DA"/>
    <w:rsid w:val="006F74FA"/>
    <w:rsid w:val="00731ADD"/>
    <w:rsid w:val="00734777"/>
    <w:rsid w:val="00747932"/>
    <w:rsid w:val="00751A4A"/>
    <w:rsid w:val="00756632"/>
    <w:rsid w:val="00762C74"/>
    <w:rsid w:val="00786EC0"/>
    <w:rsid w:val="007B0453"/>
    <w:rsid w:val="007D1690"/>
    <w:rsid w:val="007E22AD"/>
    <w:rsid w:val="007E6EB7"/>
    <w:rsid w:val="00817416"/>
    <w:rsid w:val="00842779"/>
    <w:rsid w:val="00865F67"/>
    <w:rsid w:val="00881A7B"/>
    <w:rsid w:val="008840E5"/>
    <w:rsid w:val="00885597"/>
    <w:rsid w:val="00887B3E"/>
    <w:rsid w:val="008B4104"/>
    <w:rsid w:val="008C2AC6"/>
    <w:rsid w:val="00910787"/>
    <w:rsid w:val="00930C23"/>
    <w:rsid w:val="0093193B"/>
    <w:rsid w:val="009509D8"/>
    <w:rsid w:val="00950B64"/>
    <w:rsid w:val="00981893"/>
    <w:rsid w:val="009F76B8"/>
    <w:rsid w:val="009F795D"/>
    <w:rsid w:val="00A1687D"/>
    <w:rsid w:val="00A43E52"/>
    <w:rsid w:val="00A4678D"/>
    <w:rsid w:val="00A778C7"/>
    <w:rsid w:val="00AA2F43"/>
    <w:rsid w:val="00AB1441"/>
    <w:rsid w:val="00AB441E"/>
    <w:rsid w:val="00AB6293"/>
    <w:rsid w:val="00AE0928"/>
    <w:rsid w:val="00AF3B82"/>
    <w:rsid w:val="00B12E95"/>
    <w:rsid w:val="00B22876"/>
    <w:rsid w:val="00B50F46"/>
    <w:rsid w:val="00B558F0"/>
    <w:rsid w:val="00BB057B"/>
    <w:rsid w:val="00BD48FE"/>
    <w:rsid w:val="00BD7BD8"/>
    <w:rsid w:val="00BE6ADC"/>
    <w:rsid w:val="00C05BFE"/>
    <w:rsid w:val="00C10C1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5D0"/>
    <w:rsid w:val="00D976A3"/>
    <w:rsid w:val="00DA7FCD"/>
    <w:rsid w:val="00DF0351"/>
    <w:rsid w:val="00E365E1"/>
    <w:rsid w:val="00E40BB8"/>
    <w:rsid w:val="00E7558C"/>
    <w:rsid w:val="00E820A4"/>
    <w:rsid w:val="00EB006A"/>
    <w:rsid w:val="00EB4772"/>
    <w:rsid w:val="00ED169E"/>
    <w:rsid w:val="00ED4235"/>
    <w:rsid w:val="00EE226F"/>
    <w:rsid w:val="00F04346"/>
    <w:rsid w:val="00F075DC"/>
    <w:rsid w:val="00F149E9"/>
    <w:rsid w:val="00F5134D"/>
    <w:rsid w:val="00F54460"/>
    <w:rsid w:val="00F74202"/>
    <w:rsid w:val="00F87713"/>
    <w:rsid w:val="00FB4360"/>
    <w:rsid w:val="00FD0C70"/>
    <w:rsid w:val="00F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0488E"/>
  <w15:chartTrackingRefBased/>
  <w15:docId w15:val="{B9A25346-E0D1-4AC9-948B-FF2FD5D8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2F4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F4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F4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F4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F4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F4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F4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F4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F4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AA2F4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2F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2F4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2F43"/>
    <w:pPr>
      <w:spacing w:after="120"/>
    </w:pPr>
  </w:style>
  <w:style w:type="paragraph" w:customStyle="1" w:styleId="PageHeading">
    <w:name w:val="PageHeading"/>
    <w:basedOn w:val="Normal"/>
    <w:rsid w:val="00AA2F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2F43"/>
    <w:rPr>
      <w:b/>
    </w:rPr>
  </w:style>
  <w:style w:type="paragraph" w:customStyle="1" w:styleId="NormalBold12a">
    <w:name w:val="NormalBold12a"/>
    <w:basedOn w:val="Normal"/>
    <w:rsid w:val="00AA2F43"/>
    <w:pPr>
      <w:spacing w:after="240"/>
    </w:pPr>
    <w:rPr>
      <w:b/>
    </w:rPr>
  </w:style>
  <w:style w:type="paragraph" w:customStyle="1" w:styleId="AmJustText">
    <w:name w:val="AmJustText"/>
    <w:basedOn w:val="Normal"/>
    <w:rsid w:val="00AA2F4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2F4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2F43"/>
    <w:pPr>
      <w:spacing w:after="480"/>
      <w:ind w:left="1417"/>
    </w:pPr>
  </w:style>
  <w:style w:type="paragraph" w:customStyle="1" w:styleId="CoverNormal">
    <w:name w:val="CoverNormal"/>
    <w:basedOn w:val="Normal"/>
    <w:rsid w:val="00AA2F43"/>
    <w:pPr>
      <w:ind w:left="1418"/>
    </w:pPr>
  </w:style>
  <w:style w:type="paragraph" w:customStyle="1" w:styleId="AmCrossRef">
    <w:name w:val="AmCrossRef"/>
    <w:basedOn w:val="Normal"/>
    <w:rsid w:val="00AA2F4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2F4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2F4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2F4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2F4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2F4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2F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2F43"/>
    <w:rPr>
      <w:sz w:val="24"/>
      <w:lang w:val="cs-CZ"/>
    </w:rPr>
  </w:style>
  <w:style w:type="paragraph" w:customStyle="1" w:styleId="AmOrLang">
    <w:name w:val="AmOrLang"/>
    <w:basedOn w:val="Normal"/>
    <w:rsid w:val="00AA2F4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2F4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2F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2F43"/>
    <w:pPr>
      <w:spacing w:before="240"/>
    </w:pPr>
    <w:rPr>
      <w:b/>
    </w:rPr>
  </w:style>
  <w:style w:type="paragraph" w:customStyle="1" w:styleId="EPBody">
    <w:name w:val="EPBody"/>
    <w:basedOn w:val="Normal"/>
    <w:rsid w:val="00AA2F4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2F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2F43"/>
    <w:pPr>
      <w:spacing w:before="480" w:after="240"/>
    </w:pPr>
  </w:style>
  <w:style w:type="paragraph" w:customStyle="1" w:styleId="Lgendesigne">
    <w:name w:val="Légende signe"/>
    <w:basedOn w:val="Normal"/>
    <w:rsid w:val="00AA2F4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2F4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2F43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AA2F43"/>
    <w:rPr>
      <w:b/>
      <w:sz w:val="24"/>
      <w:lang w:val="cs-CZ"/>
    </w:rPr>
  </w:style>
  <w:style w:type="character" w:customStyle="1" w:styleId="FooterChar">
    <w:name w:val="Footer Char"/>
    <w:basedOn w:val="DefaultParagraphFont"/>
    <w:link w:val="Footer"/>
    <w:uiPriority w:val="99"/>
    <w:rsid w:val="00AA2F43"/>
    <w:rPr>
      <w:sz w:val="22"/>
    </w:rPr>
  </w:style>
  <w:style w:type="paragraph" w:styleId="Footer">
    <w:name w:val="footer"/>
    <w:link w:val="FooterChar"/>
    <w:uiPriority w:val="99"/>
    <w:unhideWhenUsed/>
    <w:rsid w:val="00AA2F4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AA2F43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AA2F43"/>
    <w:rPr>
      <w:noProof/>
      <w:sz w:val="24"/>
    </w:rPr>
  </w:style>
  <w:style w:type="paragraph" w:customStyle="1" w:styleId="Normal12">
    <w:name w:val="Normal12"/>
    <w:basedOn w:val="Normal"/>
    <w:link w:val="Normal12Char"/>
    <w:rsid w:val="00AA2F4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2F43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AA2F43"/>
    <w:pPr>
      <w:spacing w:after="120"/>
    </w:pPr>
  </w:style>
  <w:style w:type="paragraph" w:customStyle="1" w:styleId="Normal12Italic">
    <w:name w:val="Normal12Italic"/>
    <w:basedOn w:val="Normal12"/>
    <w:rsid w:val="00AA2F43"/>
    <w:rPr>
      <w:i/>
    </w:rPr>
  </w:style>
  <w:style w:type="paragraph" w:customStyle="1" w:styleId="Footer2">
    <w:name w:val="Footer2"/>
    <w:basedOn w:val="Normal12"/>
    <w:rsid w:val="00AA2F4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2F4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2F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2F4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2F4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AA2F43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AA2F43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AA2F43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AA2F4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A2F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2F43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AA2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2F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2F4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2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2F43"/>
    <w:rPr>
      <w:b/>
      <w:bCs/>
      <w:lang w:val="cs-CZ"/>
    </w:rPr>
  </w:style>
  <w:style w:type="paragraph" w:customStyle="1" w:styleId="Point1">
    <w:name w:val="Point 1"/>
    <w:basedOn w:val="Normal"/>
    <w:rsid w:val="00AA2F4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AA2F43"/>
    <w:rPr>
      <w:i/>
      <w:iCs/>
    </w:rPr>
  </w:style>
  <w:style w:type="paragraph" w:customStyle="1" w:styleId="Normal24a">
    <w:name w:val="Normal24a"/>
    <w:basedOn w:val="Normal"/>
    <w:rsid w:val="00AA2F43"/>
    <w:pPr>
      <w:spacing w:after="480"/>
    </w:pPr>
  </w:style>
  <w:style w:type="paragraph" w:customStyle="1" w:styleId="NormalBoldCenter">
    <w:name w:val="NormalBoldCenter"/>
    <w:basedOn w:val="Normal"/>
    <w:rsid w:val="00AA2F43"/>
    <w:pPr>
      <w:jc w:val="center"/>
    </w:pPr>
    <w:rPr>
      <w:b/>
    </w:rPr>
  </w:style>
  <w:style w:type="paragraph" w:customStyle="1" w:styleId="Footprint12b">
    <w:name w:val="Footprint12b"/>
    <w:basedOn w:val="Normal"/>
    <w:rsid w:val="00AA2F4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A2F43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A2F4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2F43"/>
    <w:rPr>
      <w:sz w:val="24"/>
      <w:lang w:val="cs-CZ"/>
    </w:rPr>
  </w:style>
  <w:style w:type="paragraph" w:customStyle="1" w:styleId="Normal12a">
    <w:name w:val="Normal12a"/>
    <w:basedOn w:val="Normal"/>
    <w:rsid w:val="00AA2F43"/>
    <w:pPr>
      <w:spacing w:after="240"/>
    </w:pPr>
  </w:style>
  <w:style w:type="paragraph" w:customStyle="1" w:styleId="RollCallVotes">
    <w:name w:val="RollCallVotes"/>
    <w:basedOn w:val="Normal"/>
    <w:rsid w:val="00AA2F4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2F4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2F4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2F43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03ED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3ED8"/>
    <w:rPr>
      <w:rFonts w:ascii="Arial" w:eastAsiaTheme="majorEastAsia" w:hAnsi="Arial" w:cs="Arial"/>
      <w:b/>
      <w:bCs/>
      <w:kern w:val="28"/>
      <w:sz w:val="32"/>
      <w:szCs w:val="32"/>
      <w:lang w:val="cs-CZ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ED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3ED8"/>
    <w:rPr>
      <w:rFonts w:ascii="Arial" w:eastAsiaTheme="majorEastAsia" w:hAnsi="Arial" w:cs="Arial"/>
      <w:kern w:val="2"/>
      <w:sz w:val="24"/>
      <w:szCs w:val="24"/>
      <w:lang w:val="cs-CZ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303ED8"/>
    <w:rPr>
      <w:b/>
      <w:bCs/>
    </w:rPr>
  </w:style>
  <w:style w:type="paragraph" w:styleId="NoSpacing">
    <w:name w:val="No Spacing"/>
    <w:basedOn w:val="Normal"/>
    <w:uiPriority w:val="1"/>
    <w:qFormat/>
    <w:rsid w:val="00303ED8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03ED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03ED8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3ED8"/>
    <w:rPr>
      <w:rFonts w:eastAsiaTheme="minorHAnsi"/>
      <w:i/>
      <w:kern w:val="2"/>
      <w:sz w:val="24"/>
      <w:szCs w:val="24"/>
      <w:lang w:val="cs-CZ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ED8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ED8"/>
    <w:rPr>
      <w:rFonts w:eastAsiaTheme="minorHAnsi"/>
      <w:b/>
      <w:i/>
      <w:kern w:val="2"/>
      <w:sz w:val="24"/>
      <w:szCs w:val="22"/>
      <w:lang w:val="cs-CZ" w:eastAsia="en-US"/>
      <w14:ligatures w14:val="standardContextual"/>
    </w:rPr>
  </w:style>
  <w:style w:type="character" w:styleId="SubtleEmphasis">
    <w:name w:val="Subtle Emphasis"/>
    <w:uiPriority w:val="19"/>
    <w:qFormat/>
    <w:rsid w:val="00303E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03E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03E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03E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03ED8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03ED8"/>
  </w:style>
  <w:style w:type="paragraph" w:styleId="TOC4">
    <w:name w:val="toc 4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03ED8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03ED8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303ED8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303ED8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03ED8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03ED8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303ED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03ED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03ED8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03ED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303ED8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303ED8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303ED8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303ED8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303ED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303ED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303ED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303ED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303ED8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303ED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303ED8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303ED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03ED8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03ED8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303ED8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303ED8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303ED8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303ED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303ED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303ED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303ED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303ED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303ED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303ED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303ED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303ED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303ED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303ED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303ED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303ED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303ED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303ED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303ED8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303ED8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303ED8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303ED8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303ED8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303ED8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303ED8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303ED8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303ED8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303ED8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03ED8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03ED8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03ED8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03ED8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03ED8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03ED8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03ED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03ED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03ED8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303ED8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03ED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03ED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03ED8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03ED8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03ED8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03ED8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303ED8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03ED8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03ED8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03ED8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03ED8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03ED8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03ED8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03ED8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03ED8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303ED8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303ED8"/>
    <w:pPr>
      <w:widowControl/>
      <w:numPr>
        <w:numId w:val="15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303ED8"/>
    <w:pPr>
      <w:widowControl/>
      <w:numPr>
        <w:numId w:val="16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303ED8"/>
    <w:pPr>
      <w:widowControl/>
      <w:numPr>
        <w:numId w:val="17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303ED8"/>
    <w:pPr>
      <w:widowControl/>
      <w:numPr>
        <w:numId w:val="18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303ED8"/>
    <w:pPr>
      <w:widowControl/>
      <w:numPr>
        <w:numId w:val="19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303ED8"/>
    <w:pPr>
      <w:widowControl/>
      <w:numPr>
        <w:numId w:val="2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303ED8"/>
    <w:pPr>
      <w:widowControl/>
      <w:numPr>
        <w:numId w:val="2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303ED8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03ED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03ED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03ED8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303ED8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03ED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03ED8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03ED8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03ED8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03ED8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03ED8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303ED8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03ED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03ED8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03ED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03ED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03ED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03ED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03ED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303ED8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303ED8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303ED8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303ED8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303ED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303ED8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03ED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303ED8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03ED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03ED8"/>
    <w:pPr>
      <w:spacing w:before="240"/>
    </w:pPr>
  </w:style>
  <w:style w:type="paragraph" w:customStyle="1" w:styleId="Accordtitre">
    <w:name w:val="Accord titre"/>
    <w:basedOn w:val="Normal"/>
    <w:rsid w:val="00303ED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303ED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303ED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03ED8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03ED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03ED8"/>
    <w:pPr>
      <w:spacing w:after="240"/>
    </w:pPr>
  </w:style>
  <w:style w:type="paragraph" w:customStyle="1" w:styleId="Annexetitre">
    <w:name w:val="Annexe titre"/>
    <w:basedOn w:val="Normal"/>
    <w:next w:val="Normal"/>
    <w:rsid w:val="00303ED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03ED8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03ED8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03ED8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303ED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03ED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03ED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03ED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03ED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03ED8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03ED8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03ED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03ED8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03ED8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03ED8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03ED8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03ED8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03ED8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03ED8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03ED8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03ED8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03ED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03ED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03ED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03ED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03ED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03ED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03ED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03ED8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03ED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03ED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303ED8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303ED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03ED8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303ED8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3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2026-04-13T16:16:00Z</dcterms:created>
  <dcterms:modified xsi:type="dcterms:W3CDTF">2026-04-13T16:16:00Z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