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6C5D" w14:paraId="5F126D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C55770" w14:textId="77777777" w:rsidR="00751A4A" w:rsidRPr="00066C5D" w:rsidRDefault="003A58B0" w:rsidP="0010095E">
            <w:pPr>
              <w:pStyle w:val="EPName"/>
            </w:pPr>
            <w:r w:rsidRPr="00066C5D">
              <w:t>Europa-Parlamentet</w:t>
            </w:r>
          </w:p>
          <w:p w14:paraId="6FB82B64" w14:textId="77777777" w:rsidR="00751A4A" w:rsidRPr="00066C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6C5D">
              <w:t>2024</w:t>
            </w:r>
            <w:r w:rsidR="00817416" w:rsidRPr="00066C5D">
              <w:t>-202</w:t>
            </w:r>
            <w:r w:rsidRPr="00066C5D">
              <w:t>9</w:t>
            </w:r>
          </w:p>
        </w:tc>
        <w:tc>
          <w:tcPr>
            <w:tcW w:w="2268" w:type="dxa"/>
            <w:shd w:val="clear" w:color="auto" w:fill="auto"/>
          </w:tcPr>
          <w:p w14:paraId="07659504" w14:textId="77777777" w:rsidR="00751A4A" w:rsidRPr="00066C5D" w:rsidRDefault="00187494" w:rsidP="0010095E">
            <w:pPr>
              <w:pStyle w:val="EPLogo"/>
            </w:pPr>
            <w:r w:rsidRPr="00066C5D">
              <w:rPr>
                <w:noProof/>
                <w:lang w:eastAsia="ja-JP"/>
              </w:rPr>
              <w:drawing>
                <wp:inline distT="0" distB="0" distL="0" distR="0" wp14:anchorId="2A5D3D6F" wp14:editId="560A8C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9162A" w14:textId="77777777" w:rsidR="00D058B8" w:rsidRPr="00066C5D" w:rsidRDefault="00D058B8" w:rsidP="004C5D52">
      <w:pPr>
        <w:pStyle w:val="LineTop"/>
      </w:pPr>
    </w:p>
    <w:p w14:paraId="4ED4439D" w14:textId="77777777" w:rsidR="00680577" w:rsidRPr="00066C5D" w:rsidRDefault="003A58B0" w:rsidP="00680577">
      <w:pPr>
        <w:pStyle w:val="EPBodyTA1"/>
      </w:pPr>
      <w:r w:rsidRPr="00066C5D">
        <w:t>VEDTAGNE TEKSTER</w:t>
      </w:r>
    </w:p>
    <w:p w14:paraId="4032CFA0" w14:textId="77777777" w:rsidR="00D058B8" w:rsidRPr="00066C5D" w:rsidRDefault="00D058B8" w:rsidP="00D058B8">
      <w:pPr>
        <w:pStyle w:val="LineBottom"/>
      </w:pPr>
    </w:p>
    <w:p w14:paraId="7854150C" w14:textId="390C8A71" w:rsidR="003A58B0" w:rsidRPr="00066C5D" w:rsidRDefault="003A58B0" w:rsidP="003A58B0">
      <w:pPr>
        <w:pStyle w:val="ATHeading1"/>
      </w:pPr>
      <w:bookmarkStart w:id="0" w:name="TANumber"/>
      <w:r w:rsidRPr="00066C5D">
        <w:t>P10_</w:t>
      </w:r>
      <w:proofErr w:type="gramStart"/>
      <w:r w:rsidRPr="00066C5D">
        <w:t>TA(</w:t>
      </w:r>
      <w:proofErr w:type="gramEnd"/>
      <w:r w:rsidRPr="00066C5D">
        <w:t>2026)00</w:t>
      </w:r>
      <w:r w:rsidR="00D10FEE">
        <w:t>28</w:t>
      </w:r>
      <w:bookmarkEnd w:id="0"/>
    </w:p>
    <w:p w14:paraId="4CB86B17" w14:textId="77777777" w:rsidR="003A58B0" w:rsidRPr="00066C5D" w:rsidRDefault="003A58B0" w:rsidP="003A58B0">
      <w:pPr>
        <w:pStyle w:val="ATHeading2"/>
      </w:pPr>
      <w:bookmarkStart w:id="1" w:name="title"/>
      <w:r w:rsidRPr="00066C5D">
        <w:t>Ændring af forordninger om landbrugsprodukter for så vidt angår markedsregler og sektorstøtteforanstaltninger i vinsektoren og for aromatiserede vinprodukter</w:t>
      </w:r>
      <w:bookmarkEnd w:id="1"/>
    </w:p>
    <w:p w14:paraId="59F12367" w14:textId="77777777" w:rsidR="003A58B0" w:rsidRPr="00066C5D" w:rsidRDefault="003A58B0" w:rsidP="003A58B0">
      <w:pPr>
        <w:rPr>
          <w:i/>
          <w:vanish/>
        </w:rPr>
      </w:pPr>
      <w:r w:rsidRPr="00066C5D">
        <w:rPr>
          <w:i/>
        </w:rPr>
        <w:fldChar w:fldCharType="begin"/>
      </w:r>
      <w:r w:rsidRPr="00066C5D">
        <w:rPr>
          <w:i/>
        </w:rPr>
        <w:instrText xml:space="preserve"> TC"(</w:instrText>
      </w:r>
      <w:bookmarkStart w:id="2" w:name="DocNumber"/>
      <w:r w:rsidRPr="00066C5D">
        <w:rPr>
          <w:i/>
        </w:rPr>
        <w:instrText>A10-0220/2025</w:instrText>
      </w:r>
      <w:bookmarkEnd w:id="2"/>
      <w:r w:rsidRPr="00066C5D">
        <w:rPr>
          <w:i/>
        </w:rPr>
        <w:instrText xml:space="preserve"> - Ordfører: Esther </w:instrText>
      </w:r>
      <w:proofErr w:type="spellStart"/>
      <w:r w:rsidRPr="00066C5D">
        <w:rPr>
          <w:i/>
        </w:rPr>
        <w:instrText>Herranz</w:instrText>
      </w:r>
      <w:proofErr w:type="spellEnd"/>
      <w:r w:rsidRPr="00066C5D">
        <w:rPr>
          <w:i/>
        </w:rPr>
        <w:instrText xml:space="preserve"> García)"\l3 \n&gt; \* MERGEFORMAT </w:instrText>
      </w:r>
      <w:r w:rsidRPr="00066C5D">
        <w:rPr>
          <w:i/>
        </w:rPr>
        <w:fldChar w:fldCharType="end"/>
      </w:r>
    </w:p>
    <w:p w14:paraId="12E7FC4A" w14:textId="77777777" w:rsidR="003A58B0" w:rsidRPr="00066C5D" w:rsidRDefault="003A58B0" w:rsidP="003A58B0">
      <w:pPr>
        <w:rPr>
          <w:vanish/>
        </w:rPr>
      </w:pPr>
      <w:bookmarkStart w:id="3" w:name="Commission"/>
      <w:r w:rsidRPr="00066C5D">
        <w:rPr>
          <w:vanish/>
        </w:rPr>
        <w:t>Udvalget om Landbrug og Udvikling af Landdistrikter</w:t>
      </w:r>
      <w:bookmarkEnd w:id="3"/>
    </w:p>
    <w:p w14:paraId="68C65C80" w14:textId="77777777" w:rsidR="003A58B0" w:rsidRPr="00066C5D" w:rsidRDefault="003A58B0" w:rsidP="003A58B0">
      <w:pPr>
        <w:rPr>
          <w:vanish/>
        </w:rPr>
      </w:pPr>
      <w:bookmarkStart w:id="4" w:name="PE"/>
      <w:r w:rsidRPr="00066C5D">
        <w:rPr>
          <w:vanish/>
        </w:rPr>
        <w:t>PE774.316</w:t>
      </w:r>
      <w:bookmarkEnd w:id="4"/>
    </w:p>
    <w:p w14:paraId="1CD78E7E" w14:textId="01406D33" w:rsidR="003A58B0" w:rsidRPr="00066C5D" w:rsidRDefault="003A58B0" w:rsidP="003A58B0">
      <w:pPr>
        <w:pStyle w:val="ATHeading3"/>
      </w:pPr>
      <w:bookmarkStart w:id="5" w:name="Sujet"/>
      <w:r w:rsidRPr="00066C5D">
        <w:t xml:space="preserve">Europa-Parlamentets lovgivningsmæssige beslutning af </w:t>
      </w:r>
      <w:r w:rsidR="001D3BEF" w:rsidRPr="00066C5D">
        <w:t>10</w:t>
      </w:r>
      <w:r w:rsidRPr="00066C5D">
        <w:t>. februar 2026 om forslag til Europa-Parlamentets og Rådets forordning om ændring af forordning (EU) nr.</w:t>
      </w:r>
      <w:r w:rsidR="001D3BEF" w:rsidRPr="00066C5D">
        <w:t> </w:t>
      </w:r>
      <w:r w:rsidRPr="00066C5D">
        <w:t>1308/2013, (EU) 2021/2115 og (EU) nr.</w:t>
      </w:r>
      <w:r w:rsidR="001D3BEF" w:rsidRPr="00066C5D">
        <w:t> </w:t>
      </w:r>
      <w:r w:rsidRPr="00066C5D">
        <w:t>251/2014 for så vidt angår visse markedsregler og sektorstøtteforanstaltninger i vinsektoren og for aromatiserede vinprodukter</w:t>
      </w:r>
      <w:bookmarkEnd w:id="5"/>
      <w:r w:rsidRPr="00066C5D">
        <w:t xml:space="preserve"> </w:t>
      </w:r>
      <w:bookmarkStart w:id="6" w:name="References"/>
      <w:r w:rsidRPr="00066C5D">
        <w:t>(</w:t>
      </w:r>
      <w:proofErr w:type="gramStart"/>
      <w:r w:rsidRPr="00066C5D">
        <w:t>COM(</w:t>
      </w:r>
      <w:proofErr w:type="gramEnd"/>
      <w:r w:rsidRPr="00066C5D">
        <w:t>2025)0137 – C10-0058/2025 – 2025/0071(COD))</w:t>
      </w:r>
      <w:bookmarkEnd w:id="6"/>
    </w:p>
    <w:p w14:paraId="31A43B19" w14:textId="77777777" w:rsidR="009D4FD9" w:rsidRPr="00066C5D" w:rsidRDefault="009D4FD9" w:rsidP="009D4FD9">
      <w:pPr>
        <w:pStyle w:val="NormalBold"/>
      </w:pPr>
      <w:r w:rsidRPr="00066C5D">
        <w:t>(Almindelig lovgivningsprocedure: førstebehandling)</w:t>
      </w:r>
    </w:p>
    <w:p w14:paraId="047C0BF9" w14:textId="77777777" w:rsidR="009D4FD9" w:rsidRPr="00066C5D" w:rsidRDefault="009D4FD9" w:rsidP="009D4FD9">
      <w:pPr>
        <w:pStyle w:val="EPComma"/>
      </w:pPr>
      <w:r w:rsidRPr="00066C5D">
        <w:rPr>
          <w:i/>
          <w:iCs/>
        </w:rPr>
        <w:t>Europa-Parlamentet,</w:t>
      </w:r>
    </w:p>
    <w:p w14:paraId="25E3F36D" w14:textId="77777777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>der henviser til Kommissionens forslag til Europa-Parlamentet og Rådet (</w:t>
      </w:r>
      <w:proofErr w:type="gramStart"/>
      <w:r w:rsidRPr="00066C5D">
        <w:t>COM(</w:t>
      </w:r>
      <w:proofErr w:type="gramEnd"/>
      <w:r w:rsidRPr="00066C5D">
        <w:t>2025)0137),</w:t>
      </w:r>
    </w:p>
    <w:p w14:paraId="34FE5744" w14:textId="7AFCBE68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 xml:space="preserve">der henviser til artikel 294, stk. 2, artikel 42, </w:t>
      </w:r>
      <w:r w:rsidR="004410E1" w:rsidRPr="00066C5D">
        <w:t>stk. 1</w:t>
      </w:r>
      <w:r w:rsidRPr="00066C5D">
        <w:t>, og artikel 43, stk. 2, i traktaten om Den Europæiske Unions funktionsmåde, på grundlag af hvilke Kommissionen har forelagt forslaget for Parlamentet (C10</w:t>
      </w:r>
      <w:r w:rsidRPr="00066C5D">
        <w:noBreakHyphen/>
        <w:t>0058/2025),</w:t>
      </w:r>
    </w:p>
    <w:p w14:paraId="1C66AE29" w14:textId="77777777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>der henviser til artikel 294, stk. 3, i traktaten om Den Europæiske Unions funktionsmåde,</w:t>
      </w:r>
    </w:p>
    <w:p w14:paraId="2A34284C" w14:textId="77777777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>der henviser til udtalelse af 17. juli 2025 fra Det Europæiske Økonomiske og Sociale Udvalg</w:t>
      </w:r>
      <w:r w:rsidRPr="00066C5D">
        <w:rPr>
          <w:rStyle w:val="FootnoteReference"/>
        </w:rPr>
        <w:footnoteReference w:id="1"/>
      </w:r>
      <w:r w:rsidRPr="00066C5D">
        <w:t>,</w:t>
      </w:r>
    </w:p>
    <w:p w14:paraId="2DFAB770" w14:textId="4D21850E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 xml:space="preserve">der henviser til udtalelse af </w:t>
      </w:r>
      <w:r w:rsidR="001D3BEF" w:rsidRPr="00066C5D">
        <w:t>2</w:t>
      </w:r>
      <w:r w:rsidRPr="00066C5D">
        <w:t>. juli 2025 fra Regionsudvalget</w:t>
      </w:r>
      <w:r w:rsidRPr="00066C5D">
        <w:rPr>
          <w:rStyle w:val="FootnoteReference"/>
        </w:rPr>
        <w:footnoteReference w:id="2"/>
      </w:r>
      <w:r w:rsidRPr="00066C5D">
        <w:t>,</w:t>
      </w:r>
    </w:p>
    <w:p w14:paraId="211CA517" w14:textId="074B2AD8" w:rsidR="00084A56" w:rsidRPr="00066C5D" w:rsidRDefault="00084A56" w:rsidP="009D4FD9">
      <w:pPr>
        <w:pStyle w:val="NormalHanging12a"/>
      </w:pPr>
      <w:r w:rsidRPr="00066C5D">
        <w:t>–</w:t>
      </w:r>
      <w:r w:rsidRPr="00066C5D">
        <w:tab/>
        <w:t>der henviser til, at det kompetente udvalg har godkendt den foreløbige aftale i henhold til forretningsordenens artikel 75, stk. 4, og at Rådets repræsentant ved skrivelse af 16. december 2025 forpligtede sig til at godkende Europa-Parlamentets holdning, jf. artikel 294, stk. 4, i traktaten om Den Europæiske Unions funktionsmåde,</w:t>
      </w:r>
    </w:p>
    <w:p w14:paraId="065C16A3" w14:textId="77777777" w:rsidR="009D4FD9" w:rsidRPr="00066C5D" w:rsidRDefault="009D4FD9" w:rsidP="009D4FD9">
      <w:pPr>
        <w:pStyle w:val="NormalHanging12a"/>
      </w:pPr>
      <w:r w:rsidRPr="00066C5D">
        <w:lastRenderedPageBreak/>
        <w:t>–</w:t>
      </w:r>
      <w:r w:rsidRPr="00066C5D">
        <w:tab/>
        <w:t>der henviser til forretningsordenens artikel 60,</w:t>
      </w:r>
    </w:p>
    <w:p w14:paraId="15DD219E" w14:textId="77777777" w:rsidR="009D4FD9" w:rsidRPr="00066C5D" w:rsidRDefault="009D4FD9" w:rsidP="009D4FD9">
      <w:pPr>
        <w:pStyle w:val="NormalHanging12a"/>
      </w:pPr>
      <w:r w:rsidRPr="00066C5D">
        <w:t>–</w:t>
      </w:r>
      <w:r w:rsidRPr="00066C5D">
        <w:tab/>
        <w:t>der henviser til betænkning fra Udvalget om Landbrug og Udvikling af Landdistrikter (A10-0220/2025),</w:t>
      </w:r>
    </w:p>
    <w:p w14:paraId="5F5F58ED" w14:textId="77777777" w:rsidR="009D4FD9" w:rsidRPr="00066C5D" w:rsidRDefault="009D4FD9" w:rsidP="009D4FD9">
      <w:pPr>
        <w:pStyle w:val="NormalHanging12a"/>
      </w:pPr>
      <w:r w:rsidRPr="00066C5D">
        <w:t>1.</w:t>
      </w:r>
      <w:r w:rsidRPr="00066C5D">
        <w:tab/>
        <w:t>vedtager nedenstående holdning ved førstebehandling;</w:t>
      </w:r>
    </w:p>
    <w:p w14:paraId="3CEED84E" w14:textId="3C3B3CD3" w:rsidR="00084A56" w:rsidRPr="00066C5D" w:rsidRDefault="00084A56" w:rsidP="009D4FD9">
      <w:pPr>
        <w:pStyle w:val="NormalHanging12a"/>
      </w:pPr>
      <w:r w:rsidRPr="00066C5D">
        <w:t>2.</w:t>
      </w:r>
      <w:r w:rsidRPr="00066C5D">
        <w:tab/>
        <w:t xml:space="preserve">noterer sig Kommissionens erklæring, der er vedføjet som bilag til denne beslutning, og som vil blive offentliggjort i C-udgaven af </w:t>
      </w:r>
      <w:r w:rsidRPr="00735311">
        <w:rPr>
          <w:i/>
          <w:iCs/>
        </w:rPr>
        <w:t>Den Europæiske Unions Tidende</w:t>
      </w:r>
      <w:r w:rsidRPr="00066C5D">
        <w:t>;</w:t>
      </w:r>
    </w:p>
    <w:p w14:paraId="67E37495" w14:textId="19FA4BDF" w:rsidR="009D4FD9" w:rsidRPr="00066C5D" w:rsidRDefault="00084A56" w:rsidP="009D4FD9">
      <w:pPr>
        <w:pStyle w:val="NormalHanging12a"/>
      </w:pPr>
      <w:r w:rsidRPr="00066C5D">
        <w:t>3</w:t>
      </w:r>
      <w:r w:rsidR="009D4FD9" w:rsidRPr="00066C5D">
        <w:t>.</w:t>
      </w:r>
      <w:r w:rsidR="009D4FD9" w:rsidRPr="00066C5D">
        <w:tab/>
        <w:t>anmoder om fornyet forelæggelse, hvis Kommissionen erstatter, i væsentlig grad ændrer eller agter i væsentlig grad at ændre sit forslag;</w:t>
      </w:r>
    </w:p>
    <w:p w14:paraId="7C1B9484" w14:textId="323D5F10" w:rsidR="00084A56" w:rsidRPr="00066C5D" w:rsidRDefault="00084A56" w:rsidP="009D4FD9">
      <w:pPr>
        <w:pStyle w:val="NormalHanging12a"/>
        <w:sectPr w:rsidR="00084A56" w:rsidRPr="00066C5D" w:rsidSect="00D239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66C5D">
        <w:t>4</w:t>
      </w:r>
      <w:r w:rsidR="009D4FD9" w:rsidRPr="00066C5D">
        <w:t>.</w:t>
      </w:r>
      <w:r w:rsidR="009D4FD9" w:rsidRPr="00066C5D">
        <w:tab/>
        <w:t>pålægger sin formand at sende Parlamentets holdning til Rådet og Kommissionen samt til de nationale parlamenter.</w:t>
      </w:r>
    </w:p>
    <w:p w14:paraId="6E7CA0BE" w14:textId="4B36B103" w:rsidR="00084A56" w:rsidRPr="00D72F7A" w:rsidRDefault="00084A56" w:rsidP="00084A5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Hlk211495952"/>
      <w:r w:rsidRPr="00D72F7A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D72F7A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D72F7A">
        <w:rPr>
          <w:rFonts w:eastAsia="Calibri"/>
          <w:b/>
          <w:bCs/>
          <w:color w:val="000000"/>
          <w:szCs w:val="24"/>
        </w:rPr>
        <w:t>2025)0071</w:t>
      </w:r>
    </w:p>
    <w:p w14:paraId="7B3AE982" w14:textId="77777777" w:rsidR="00084A56" w:rsidRPr="00D72F7A" w:rsidRDefault="00084A56" w:rsidP="00084A56">
      <w:pPr>
        <w:rPr>
          <w:rFonts w:eastAsia="Calibri"/>
          <w:b/>
          <w:color w:val="000000"/>
          <w:szCs w:val="24"/>
        </w:rPr>
      </w:pPr>
      <w:r w:rsidRPr="00D72F7A">
        <w:rPr>
          <w:b/>
          <w:szCs w:val="24"/>
        </w:rPr>
        <w:t xml:space="preserve">Europa-Parlamentets holdning fastlagt ved førstebehandlingen den 10. februar 2026 med henblik på vedtagelse af Europa-Parlamentets og Rådets </w:t>
      </w:r>
      <w:r w:rsidRPr="00D72F7A">
        <w:rPr>
          <w:rFonts w:eastAsia="Calibri"/>
          <w:b/>
          <w:szCs w:val="24"/>
        </w:rPr>
        <w:t xml:space="preserve">forordning </w:t>
      </w:r>
      <w:r w:rsidRPr="00D72F7A">
        <w:rPr>
          <w:b/>
          <w:szCs w:val="24"/>
        </w:rPr>
        <w:t xml:space="preserve">(EU) </w:t>
      </w:r>
      <w:r w:rsidRPr="00D72F7A">
        <w:rPr>
          <w:rFonts w:eastAsia="Calibri"/>
          <w:b/>
          <w:szCs w:val="24"/>
        </w:rPr>
        <w:t>2026/…</w:t>
      </w:r>
      <w:bookmarkEnd w:id="7"/>
      <w:r w:rsidRPr="00D72F7A">
        <w:rPr>
          <w:rFonts w:eastAsia="Calibri"/>
          <w:b/>
          <w:szCs w:val="24"/>
        </w:rPr>
        <w:t xml:space="preserve"> </w:t>
      </w:r>
      <w:r w:rsidRPr="00D72F7A">
        <w:rPr>
          <w:b/>
          <w:color w:val="000000"/>
          <w:szCs w:val="24"/>
        </w:rPr>
        <w:t xml:space="preserve">om ændring af forordning (EU) nr. 1308/2013, (EU) nr. 251/2014 og (EU) 2021/2115 for så vidt angår visse markedsregler og sektorstøtteforanstaltninger i vinsektoren og for aromatiserede vinprodukter </w:t>
      </w:r>
      <w:r w:rsidRPr="00184469">
        <w:rPr>
          <w:b/>
          <w:color w:val="000000"/>
          <w:szCs w:val="24"/>
        </w:rPr>
        <w:t>og forordning (EU) 2024/1143 for så vidt angår visse mærkningsregler for spiritus</w:t>
      </w:r>
    </w:p>
    <w:p w14:paraId="46147399" w14:textId="76EBADB6" w:rsidR="00084A56" w:rsidRDefault="00084A56" w:rsidP="00084A56">
      <w:pPr>
        <w:tabs>
          <w:tab w:val="left" w:pos="5669"/>
        </w:tabs>
        <w:spacing w:line="360" w:lineRule="auto"/>
        <w:rPr>
          <w:rFonts w:eastAsia="Calibri"/>
          <w:i/>
          <w:color w:val="000000"/>
          <w:szCs w:val="24"/>
        </w:rPr>
      </w:pPr>
    </w:p>
    <w:p w14:paraId="6515F0C5" w14:textId="2571C046" w:rsidR="00184469" w:rsidRPr="00D72F7A" w:rsidRDefault="00184469" w:rsidP="00184469">
      <w:pPr>
        <w:tabs>
          <w:tab w:val="left" w:pos="5669"/>
        </w:tabs>
        <w:rPr>
          <w:rFonts w:eastAsia="Calibri"/>
          <w:i/>
          <w:color w:val="000000"/>
          <w:szCs w:val="24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184469">
        <w:rPr>
          <w:i/>
        </w:rPr>
        <w:t>retsakt, forordning (EU) 2026/471.)</w:t>
      </w:r>
    </w:p>
    <w:p w14:paraId="6FDABBFD" w14:textId="77777777" w:rsidR="00084A56" w:rsidRPr="00D72F7A" w:rsidRDefault="00084A56" w:rsidP="00084A56">
      <w:pPr>
        <w:pStyle w:val="NormalHanging12a"/>
        <w:spacing w:before="240"/>
        <w:ind w:left="0" w:firstLine="0"/>
        <w:rPr>
          <w:szCs w:val="24"/>
        </w:rPr>
        <w:sectPr w:rsidR="00084A56" w:rsidRPr="00D72F7A" w:rsidSect="00D2399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FC54F8" w14:textId="52FB20EC" w:rsidR="009D4FD9" w:rsidRPr="00D72F7A" w:rsidRDefault="00084A56" w:rsidP="00084A56">
      <w:pPr>
        <w:pStyle w:val="NormalHanging12a"/>
        <w:spacing w:before="240"/>
        <w:ind w:left="0" w:firstLine="0"/>
        <w:jc w:val="right"/>
        <w:rPr>
          <w:szCs w:val="24"/>
        </w:rPr>
      </w:pPr>
      <w:r w:rsidRPr="00D72F7A">
        <w:rPr>
          <w:szCs w:val="24"/>
        </w:rPr>
        <w:lastRenderedPageBreak/>
        <w:t>BILAG TIL DEN LOVGIVNINGSMÆSSIGE BESLUTNING</w:t>
      </w:r>
    </w:p>
    <w:p w14:paraId="153574C5" w14:textId="7F42956B" w:rsidR="00084A56" w:rsidRPr="00D72F7A" w:rsidRDefault="00084A56" w:rsidP="00084A56">
      <w:pPr>
        <w:spacing w:before="120" w:after="120" w:line="360" w:lineRule="auto"/>
        <w:jc w:val="center"/>
        <w:rPr>
          <w:iCs/>
          <w:szCs w:val="24"/>
        </w:rPr>
      </w:pPr>
      <w:r w:rsidRPr="00D72F7A">
        <w:rPr>
          <w:iCs/>
          <w:szCs w:val="24"/>
        </w:rPr>
        <w:t>Erklæring fra Kommissionen i forbindelse med vedtagelsen af Europa-Parlamentets og Rådets forordning (EU) 2026/</w:t>
      </w:r>
      <w:r w:rsidR="00184469">
        <w:rPr>
          <w:iCs/>
          <w:szCs w:val="24"/>
        </w:rPr>
        <w:t>471</w:t>
      </w:r>
      <w:r w:rsidR="00184469">
        <w:rPr>
          <w:rStyle w:val="FootnoteReference"/>
          <w:iCs/>
          <w:szCs w:val="24"/>
        </w:rPr>
        <w:footnoteReference w:id="3"/>
      </w:r>
      <w:r w:rsidRPr="00D72F7A">
        <w:rPr>
          <w:iCs/>
          <w:szCs w:val="24"/>
        </w:rPr>
        <w:t xml:space="preserve"> af </w:t>
      </w:r>
      <w:r w:rsidR="00184469">
        <w:rPr>
          <w:iCs/>
          <w:szCs w:val="24"/>
        </w:rPr>
        <w:t>24. februar 2026</w:t>
      </w:r>
      <w:r w:rsidRPr="00D72F7A">
        <w:rPr>
          <w:iCs/>
          <w:szCs w:val="24"/>
        </w:rPr>
        <w:t xml:space="preserve"> om ændring af forordning (EU) nr.</w:t>
      </w:r>
      <w:r w:rsidR="002D5D08" w:rsidRPr="00D72F7A">
        <w:rPr>
          <w:iCs/>
          <w:szCs w:val="24"/>
        </w:rPr>
        <w:t> </w:t>
      </w:r>
      <w:r w:rsidRPr="00D72F7A">
        <w:rPr>
          <w:iCs/>
          <w:szCs w:val="24"/>
        </w:rPr>
        <w:t>1308/2013, (EU) nr.</w:t>
      </w:r>
      <w:r w:rsidR="002D5D08" w:rsidRPr="00D72F7A">
        <w:rPr>
          <w:iCs/>
          <w:szCs w:val="24"/>
        </w:rPr>
        <w:t> </w:t>
      </w:r>
      <w:r w:rsidRPr="00D72F7A">
        <w:rPr>
          <w:iCs/>
          <w:szCs w:val="24"/>
        </w:rPr>
        <w:t>251/2014 og (EU) 2021/2115 for så vidt angår visse markedsregler og sektorstøtteforanstaltninger i vinsektoren og for aromatiserede vinprodukter og forordning (EU) 2024/1143 for så vidt angår visse mærkningsregler for spiritus</w:t>
      </w:r>
    </w:p>
    <w:p w14:paraId="6A993C95" w14:textId="77777777" w:rsidR="00084A56" w:rsidRPr="00D72F7A" w:rsidRDefault="00084A56" w:rsidP="00084A56">
      <w:pPr>
        <w:spacing w:before="120" w:after="120" w:line="360" w:lineRule="auto"/>
        <w:rPr>
          <w:iCs/>
          <w:szCs w:val="24"/>
        </w:rPr>
      </w:pPr>
      <w:r w:rsidRPr="00D72F7A">
        <w:rPr>
          <w:iCs/>
          <w:szCs w:val="24"/>
        </w:rPr>
        <w:t>Kommissionen vil gøre sit yderste for i 2026 at forelægge følgende for den relevante ekspertgruppe eller det relevante udvalg:</w:t>
      </w:r>
    </w:p>
    <w:p w14:paraId="4D1D0D63" w14:textId="77777777" w:rsidR="00084A56" w:rsidRPr="00D72F7A" w:rsidRDefault="00084A56" w:rsidP="00084A56">
      <w:pPr>
        <w:widowControl/>
        <w:spacing w:before="120" w:after="120" w:line="360" w:lineRule="auto"/>
        <w:ind w:left="851" w:hanging="851"/>
        <w:rPr>
          <w:iCs/>
          <w:szCs w:val="24"/>
        </w:rPr>
      </w:pPr>
      <w:r w:rsidRPr="00D72F7A">
        <w:rPr>
          <w:iCs/>
          <w:szCs w:val="24"/>
        </w:rPr>
        <w:t>1)</w:t>
      </w:r>
      <w:r w:rsidRPr="00D72F7A">
        <w:rPr>
          <w:iCs/>
          <w:szCs w:val="24"/>
        </w:rPr>
        <w:tab/>
        <w:t xml:space="preserve">et udkast til gennemførelsesretsakt om ændring af forordning (EU) 2018/274 for så vidt angår muligheden for at udvide anvendelsen af den </w:t>
      </w:r>
      <w:r w:rsidRPr="00D72F7A">
        <w:rPr>
          <w:b/>
          <w:iCs/>
          <w:szCs w:val="24"/>
        </w:rPr>
        <w:t>forenklede procedure for tildeling af tilladelser til genplantning</w:t>
      </w:r>
      <w:r w:rsidRPr="00D72F7A">
        <w:rPr>
          <w:iCs/>
          <w:szCs w:val="24"/>
        </w:rPr>
        <w:t>, der er omhandlet i artikel 9 i nævnte forordning</w:t>
      </w:r>
    </w:p>
    <w:p w14:paraId="6E9769A0" w14:textId="56EBD5CB" w:rsidR="00084A56" w:rsidRPr="00D72F7A" w:rsidRDefault="00084A56" w:rsidP="00084A56">
      <w:pPr>
        <w:widowControl/>
        <w:spacing w:before="120" w:after="120" w:line="360" w:lineRule="auto"/>
        <w:ind w:left="851" w:hanging="851"/>
        <w:rPr>
          <w:iCs/>
          <w:szCs w:val="24"/>
        </w:rPr>
      </w:pPr>
      <w:r w:rsidRPr="00D72F7A">
        <w:rPr>
          <w:iCs/>
          <w:szCs w:val="24"/>
        </w:rPr>
        <w:t>2)</w:t>
      </w:r>
      <w:r w:rsidRPr="00D72F7A">
        <w:rPr>
          <w:iCs/>
          <w:szCs w:val="24"/>
        </w:rPr>
        <w:tab/>
        <w:t xml:space="preserve">et udkast til ændring af Kommissionens delegerede forordning (EU) 2019/33 for at fastlægge Unionens system til elektronisk angivelse på emballagen eller etiketten for vinavlsprodukter som omhandlet i artikel 119, stk. 4 og 5, i forordning (EU) </w:t>
      </w:r>
      <w:r w:rsidR="00184469">
        <w:rPr>
          <w:iCs/>
          <w:szCs w:val="24"/>
        </w:rPr>
        <w:t>nr. </w:t>
      </w:r>
      <w:r w:rsidRPr="00D72F7A">
        <w:rPr>
          <w:iCs/>
          <w:szCs w:val="24"/>
        </w:rPr>
        <w:t>1308/2013</w:t>
      </w:r>
    </w:p>
    <w:p w14:paraId="41BC1716" w14:textId="77777777" w:rsidR="00084A56" w:rsidRPr="00D72F7A" w:rsidRDefault="00084A56" w:rsidP="00084A56">
      <w:pPr>
        <w:widowControl/>
        <w:spacing w:before="120" w:after="120" w:line="360" w:lineRule="auto"/>
        <w:ind w:left="851" w:hanging="851"/>
        <w:rPr>
          <w:iCs/>
          <w:szCs w:val="24"/>
        </w:rPr>
      </w:pPr>
      <w:r w:rsidRPr="00D72F7A">
        <w:rPr>
          <w:iCs/>
          <w:szCs w:val="24"/>
        </w:rPr>
        <w:t>3)</w:t>
      </w:r>
      <w:r w:rsidRPr="00D72F7A">
        <w:rPr>
          <w:iCs/>
          <w:szCs w:val="24"/>
        </w:rPr>
        <w:tab/>
        <w:t xml:space="preserve">et udkast til ændring af Kommissionens delegerede forordning (EU) 2019/934 for i </w:t>
      </w:r>
      <w:r w:rsidRPr="00D72F7A">
        <w:rPr>
          <w:b/>
          <w:iCs/>
          <w:szCs w:val="24"/>
        </w:rPr>
        <w:t>definitionen af "</w:t>
      </w:r>
      <w:proofErr w:type="spellStart"/>
      <w:r w:rsidRPr="00D72F7A">
        <w:rPr>
          <w:b/>
          <w:iCs/>
          <w:szCs w:val="24"/>
        </w:rPr>
        <w:t>forskæring</w:t>
      </w:r>
      <w:proofErr w:type="spellEnd"/>
      <w:r w:rsidRPr="00D72F7A">
        <w:rPr>
          <w:b/>
          <w:iCs/>
          <w:szCs w:val="24"/>
        </w:rPr>
        <w:t>"</w:t>
      </w:r>
      <w:r w:rsidRPr="00D72F7A">
        <w:rPr>
          <w:iCs/>
          <w:szCs w:val="24"/>
        </w:rPr>
        <w:t xml:space="preserve"> ("blanding") at indføje muligheden for at blande </w:t>
      </w:r>
      <w:proofErr w:type="spellStart"/>
      <w:r w:rsidRPr="00D72F7A">
        <w:rPr>
          <w:iCs/>
          <w:szCs w:val="24"/>
        </w:rPr>
        <w:t>dealkoholiseret</w:t>
      </w:r>
      <w:proofErr w:type="spellEnd"/>
      <w:r w:rsidRPr="00D72F7A">
        <w:rPr>
          <w:iCs/>
          <w:szCs w:val="24"/>
        </w:rPr>
        <w:t xml:space="preserve"> eller delvis </w:t>
      </w:r>
      <w:proofErr w:type="spellStart"/>
      <w:r w:rsidRPr="00D72F7A">
        <w:rPr>
          <w:iCs/>
          <w:szCs w:val="24"/>
        </w:rPr>
        <w:t>dealkoholiseret</w:t>
      </w:r>
      <w:proofErr w:type="spellEnd"/>
      <w:r w:rsidRPr="00D72F7A">
        <w:rPr>
          <w:iCs/>
          <w:szCs w:val="24"/>
        </w:rPr>
        <w:t xml:space="preserve"> vin med stille vin for at fremstille delvis </w:t>
      </w:r>
      <w:proofErr w:type="spellStart"/>
      <w:r w:rsidRPr="00D72F7A">
        <w:rPr>
          <w:iCs/>
          <w:szCs w:val="24"/>
        </w:rPr>
        <w:t>dealkoholiseret</w:t>
      </w:r>
      <w:proofErr w:type="spellEnd"/>
      <w:r w:rsidRPr="00D72F7A">
        <w:rPr>
          <w:iCs/>
          <w:szCs w:val="24"/>
        </w:rPr>
        <w:t xml:space="preserve"> vin</w:t>
      </w:r>
    </w:p>
    <w:p w14:paraId="61C29292" w14:textId="14317D87" w:rsidR="00084A56" w:rsidRPr="00D72F7A" w:rsidRDefault="00084A56" w:rsidP="00084A56">
      <w:pPr>
        <w:pStyle w:val="NormalHanging12a"/>
        <w:spacing w:before="120" w:after="120" w:line="360" w:lineRule="auto"/>
        <w:ind w:left="851" w:hanging="851"/>
        <w:rPr>
          <w:szCs w:val="24"/>
        </w:rPr>
      </w:pPr>
      <w:r w:rsidRPr="00D72F7A">
        <w:rPr>
          <w:szCs w:val="24"/>
        </w:rPr>
        <w:t>4)</w:t>
      </w:r>
      <w:r w:rsidRPr="00D72F7A">
        <w:rPr>
          <w:szCs w:val="24"/>
        </w:rPr>
        <w:tab/>
      </w:r>
      <w:r w:rsidRPr="00D72F7A">
        <w:rPr>
          <w:iCs/>
          <w:szCs w:val="24"/>
        </w:rPr>
        <w:t xml:space="preserve">et udkast til delegeret retsakt om fastsættelse af betingelserne for </w:t>
      </w:r>
      <w:r w:rsidRPr="00D72F7A">
        <w:rPr>
          <w:b/>
          <w:iCs/>
          <w:szCs w:val="24"/>
        </w:rPr>
        <w:t>rydning af forladte vindyrkningsarealer</w:t>
      </w:r>
      <w:r w:rsidRPr="00D72F7A">
        <w:rPr>
          <w:iCs/>
          <w:szCs w:val="24"/>
        </w:rPr>
        <w:t xml:space="preserve"> som omhandlet i den nye artikel 62, stk. 6, i forordning (EU) </w:t>
      </w:r>
      <w:r w:rsidR="00184469">
        <w:rPr>
          <w:iCs/>
          <w:szCs w:val="24"/>
        </w:rPr>
        <w:t>nr. </w:t>
      </w:r>
      <w:r w:rsidRPr="00D72F7A">
        <w:rPr>
          <w:iCs/>
          <w:szCs w:val="24"/>
        </w:rPr>
        <w:t>1308/2013.</w:t>
      </w:r>
    </w:p>
    <w:sectPr w:rsidR="00084A56" w:rsidRPr="00D72F7A" w:rsidSect="00D2399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576A0" w14:textId="77777777" w:rsidR="003A58B0" w:rsidRPr="00D23997" w:rsidRDefault="003A58B0">
      <w:r w:rsidRPr="00D23997">
        <w:separator/>
      </w:r>
    </w:p>
  </w:endnote>
  <w:endnote w:type="continuationSeparator" w:id="0">
    <w:p w14:paraId="18617A93" w14:textId="77777777" w:rsidR="003A58B0" w:rsidRPr="00D23997" w:rsidRDefault="003A58B0">
      <w:r w:rsidRPr="00D239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574D" w14:textId="77777777" w:rsidR="00064002" w:rsidRPr="00D239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A7C2" w14:textId="77777777" w:rsidR="00064002" w:rsidRPr="00D239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049A0" w14:textId="77777777" w:rsidR="00064002" w:rsidRPr="00D239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B530B" w14:textId="77777777" w:rsidR="003A58B0" w:rsidRPr="00D23997" w:rsidRDefault="003A58B0">
      <w:r w:rsidRPr="00D23997">
        <w:separator/>
      </w:r>
    </w:p>
  </w:footnote>
  <w:footnote w:type="continuationSeparator" w:id="0">
    <w:p w14:paraId="3FC85497" w14:textId="77777777" w:rsidR="003A58B0" w:rsidRPr="00D23997" w:rsidRDefault="003A58B0">
      <w:r w:rsidRPr="00D23997">
        <w:continuationSeparator/>
      </w:r>
    </w:p>
  </w:footnote>
  <w:footnote w:id="1">
    <w:p w14:paraId="21C8CEC0" w14:textId="05244520" w:rsidR="009D4FD9" w:rsidRPr="00D72F7A" w:rsidRDefault="009D4FD9" w:rsidP="00D23997">
      <w:pPr>
        <w:pStyle w:val="FootnoteText"/>
        <w:ind w:left="567" w:hanging="567"/>
        <w:rPr>
          <w:sz w:val="24"/>
          <w:szCs w:val="24"/>
          <w:lang w:val="fi-FI"/>
        </w:rPr>
      </w:pPr>
      <w:r w:rsidRPr="00D72F7A">
        <w:rPr>
          <w:rStyle w:val="FootnoteReference"/>
          <w:sz w:val="24"/>
          <w:szCs w:val="24"/>
          <w:lang w:val="da-DK"/>
        </w:rPr>
        <w:footnoteRef/>
      </w:r>
      <w:r w:rsidR="00D23997" w:rsidRPr="00D72F7A">
        <w:rPr>
          <w:sz w:val="24"/>
          <w:szCs w:val="24"/>
          <w:lang w:val="fi-FI"/>
        </w:rPr>
        <w:t xml:space="preserve"> </w:t>
      </w:r>
      <w:r w:rsidR="00D23997" w:rsidRPr="00D72F7A">
        <w:rPr>
          <w:sz w:val="24"/>
          <w:szCs w:val="24"/>
          <w:lang w:val="fi-FI"/>
        </w:rPr>
        <w:tab/>
      </w:r>
      <w:r w:rsidR="001D3BEF" w:rsidRPr="00D72F7A">
        <w:rPr>
          <w:sz w:val="24"/>
          <w:szCs w:val="24"/>
          <w:lang w:val="fi-FI"/>
        </w:rPr>
        <w:t xml:space="preserve">EUT C, C/2025/5161, 28.10.2025, ELI: </w:t>
      </w:r>
      <w:hyperlink r:id="rId1" w:history="1">
        <w:r w:rsidR="001D3BEF" w:rsidRPr="00D72F7A">
          <w:rPr>
            <w:rStyle w:val="Hyperlink"/>
            <w:color w:val="auto"/>
            <w:sz w:val="24"/>
            <w:szCs w:val="24"/>
            <w:lang w:val="fi-FI"/>
          </w:rPr>
          <w:t>http://data.europa.eu/eli/C/2025/5161/oj</w:t>
        </w:r>
      </w:hyperlink>
      <w:r w:rsidRPr="00D72F7A">
        <w:rPr>
          <w:sz w:val="24"/>
          <w:szCs w:val="24"/>
          <w:lang w:val="fi-FI"/>
        </w:rPr>
        <w:t>.</w:t>
      </w:r>
    </w:p>
  </w:footnote>
  <w:footnote w:id="2">
    <w:p w14:paraId="2FB04F3A" w14:textId="5B7C7EA4" w:rsidR="009D4FD9" w:rsidRPr="00D72F7A" w:rsidRDefault="009D4FD9" w:rsidP="00D23997">
      <w:pPr>
        <w:pStyle w:val="FootnoteText"/>
        <w:ind w:left="567" w:hanging="567"/>
        <w:rPr>
          <w:sz w:val="24"/>
          <w:szCs w:val="24"/>
          <w:lang w:val="fi-FI"/>
        </w:rPr>
      </w:pPr>
      <w:r w:rsidRPr="00D72F7A">
        <w:rPr>
          <w:rStyle w:val="FootnoteReference"/>
          <w:sz w:val="24"/>
          <w:szCs w:val="24"/>
          <w:lang w:val="da-DK"/>
        </w:rPr>
        <w:footnoteRef/>
      </w:r>
      <w:r w:rsidR="00D23997" w:rsidRPr="00D72F7A">
        <w:rPr>
          <w:sz w:val="24"/>
          <w:szCs w:val="24"/>
          <w:lang w:val="fi-FI"/>
        </w:rPr>
        <w:t xml:space="preserve"> </w:t>
      </w:r>
      <w:r w:rsidR="00D23997" w:rsidRPr="00D72F7A">
        <w:rPr>
          <w:sz w:val="24"/>
          <w:szCs w:val="24"/>
          <w:lang w:val="fi-FI"/>
        </w:rPr>
        <w:tab/>
      </w:r>
      <w:r w:rsidR="001D3BEF" w:rsidRPr="00D72F7A">
        <w:rPr>
          <w:sz w:val="24"/>
          <w:szCs w:val="24"/>
          <w:lang w:val="fi-FI"/>
        </w:rPr>
        <w:t xml:space="preserve">EUT C, C/2025/4418, 29.8.2025, ELI: </w:t>
      </w:r>
      <w:hyperlink r:id="rId2" w:history="1">
        <w:r w:rsidR="001D3BEF" w:rsidRPr="00D72F7A">
          <w:rPr>
            <w:rStyle w:val="Hyperlink"/>
            <w:color w:val="auto"/>
            <w:sz w:val="24"/>
            <w:szCs w:val="24"/>
            <w:lang w:val="fi-FI"/>
          </w:rPr>
          <w:t>http://data.europa.eu/eli/C/2025/4418/oj</w:t>
        </w:r>
      </w:hyperlink>
      <w:r w:rsidRPr="00D72F7A">
        <w:rPr>
          <w:sz w:val="24"/>
          <w:szCs w:val="24"/>
          <w:lang w:val="fi-FI"/>
        </w:rPr>
        <w:t>.</w:t>
      </w:r>
    </w:p>
  </w:footnote>
  <w:footnote w:id="3">
    <w:p w14:paraId="01E3D474" w14:textId="233EB1B8" w:rsidR="00184469" w:rsidRPr="00D64FB2" w:rsidRDefault="00184469" w:rsidP="00184469">
      <w:pPr>
        <w:pStyle w:val="FootnoteText"/>
        <w:ind w:left="851" w:hanging="851"/>
        <w:rPr>
          <w:sz w:val="24"/>
          <w:szCs w:val="24"/>
          <w:lang w:val="fr-BE"/>
        </w:rPr>
      </w:pPr>
      <w:r w:rsidRPr="00D64FB2">
        <w:rPr>
          <w:rStyle w:val="FootnoteReference"/>
          <w:sz w:val="24"/>
          <w:szCs w:val="24"/>
        </w:rPr>
        <w:footnoteRef/>
      </w:r>
      <w:r w:rsidRPr="00D64FB2">
        <w:rPr>
          <w:sz w:val="24"/>
          <w:szCs w:val="24"/>
        </w:rPr>
        <w:t xml:space="preserve"> </w:t>
      </w:r>
      <w:r w:rsidRPr="00D64FB2">
        <w:rPr>
          <w:sz w:val="24"/>
          <w:szCs w:val="24"/>
          <w:lang w:val="fr-BE"/>
        </w:rPr>
        <w:tab/>
        <w:t xml:space="preserve">EUT L, 2026/471, 26.2.2026, </w:t>
      </w:r>
      <w:proofErr w:type="gramStart"/>
      <w:r w:rsidRPr="00D64FB2">
        <w:rPr>
          <w:sz w:val="24"/>
          <w:szCs w:val="24"/>
          <w:lang w:val="fr-BE"/>
        </w:rPr>
        <w:t>ELI:</w:t>
      </w:r>
      <w:proofErr w:type="gramEnd"/>
      <w:r w:rsidRPr="00D64FB2">
        <w:rPr>
          <w:sz w:val="24"/>
          <w:szCs w:val="24"/>
          <w:lang w:val="fr-BE"/>
        </w:rPr>
        <w:t xml:space="preserve"> </w:t>
      </w:r>
      <w:hyperlink r:id="rId3" w:history="1">
        <w:r w:rsidRPr="00D64FB2">
          <w:rPr>
            <w:rStyle w:val="Hyperlink"/>
            <w:sz w:val="24"/>
            <w:szCs w:val="24"/>
            <w:lang w:val="fr-BE"/>
          </w:rPr>
          <w:t>http://data.europa.eu/eli/reg/2026/471/oj</w:t>
        </w:r>
      </w:hyperlink>
      <w:r w:rsidRPr="00D64FB2">
        <w:rPr>
          <w:sz w:val="24"/>
          <w:szCs w:val="24"/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3761" w14:textId="77777777" w:rsidR="00064002" w:rsidRPr="00D239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8802" w14:textId="77777777" w:rsidR="00064002" w:rsidRPr="00D239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BEB7" w14:textId="77777777" w:rsidR="00064002" w:rsidRPr="00D239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0136772">
    <w:abstractNumId w:val="9"/>
  </w:num>
  <w:num w:numId="2" w16cid:durableId="1963920062">
    <w:abstractNumId w:val="9"/>
  </w:num>
  <w:num w:numId="3" w16cid:durableId="647562758">
    <w:abstractNumId w:val="7"/>
  </w:num>
  <w:num w:numId="4" w16cid:durableId="234977007">
    <w:abstractNumId w:val="7"/>
  </w:num>
  <w:num w:numId="5" w16cid:durableId="1549150650">
    <w:abstractNumId w:val="6"/>
  </w:num>
  <w:num w:numId="6" w16cid:durableId="1434205187">
    <w:abstractNumId w:val="6"/>
  </w:num>
  <w:num w:numId="7" w16cid:durableId="265357011">
    <w:abstractNumId w:val="5"/>
  </w:num>
  <w:num w:numId="8" w16cid:durableId="1495300474">
    <w:abstractNumId w:val="5"/>
  </w:num>
  <w:num w:numId="9" w16cid:durableId="1555042840">
    <w:abstractNumId w:val="4"/>
  </w:num>
  <w:num w:numId="10" w16cid:durableId="1817918159">
    <w:abstractNumId w:val="4"/>
  </w:num>
  <w:num w:numId="11" w16cid:durableId="1919366319">
    <w:abstractNumId w:val="8"/>
  </w:num>
  <w:num w:numId="12" w16cid:durableId="9962695">
    <w:abstractNumId w:val="8"/>
  </w:num>
  <w:num w:numId="13" w16cid:durableId="416441627">
    <w:abstractNumId w:val="3"/>
  </w:num>
  <w:num w:numId="14" w16cid:durableId="1634557529">
    <w:abstractNumId w:val="3"/>
  </w:num>
  <w:num w:numId="15" w16cid:durableId="1546720779">
    <w:abstractNumId w:val="2"/>
  </w:num>
  <w:num w:numId="16" w16cid:durableId="1063261881">
    <w:abstractNumId w:val="2"/>
  </w:num>
  <w:num w:numId="17" w16cid:durableId="642466363">
    <w:abstractNumId w:val="1"/>
  </w:num>
  <w:num w:numId="18" w16cid:durableId="107747109">
    <w:abstractNumId w:val="1"/>
  </w:num>
  <w:num w:numId="19" w16cid:durableId="2046519904">
    <w:abstractNumId w:val="0"/>
  </w:num>
  <w:num w:numId="20" w16cid:durableId="568929701">
    <w:abstractNumId w:val="0"/>
  </w:num>
  <w:num w:numId="21" w16cid:durableId="588544324">
    <w:abstractNumId w:val="9"/>
  </w:num>
  <w:num w:numId="22" w16cid:durableId="1048728534">
    <w:abstractNumId w:val="7"/>
  </w:num>
  <w:num w:numId="23" w16cid:durableId="956764934">
    <w:abstractNumId w:val="6"/>
  </w:num>
  <w:num w:numId="24" w16cid:durableId="2140105943">
    <w:abstractNumId w:val="5"/>
  </w:num>
  <w:num w:numId="25" w16cid:durableId="203293189">
    <w:abstractNumId w:val="4"/>
  </w:num>
  <w:num w:numId="26" w16cid:durableId="866914112">
    <w:abstractNumId w:val="8"/>
  </w:num>
  <w:num w:numId="27" w16cid:durableId="1246842177">
    <w:abstractNumId w:val="3"/>
  </w:num>
  <w:num w:numId="28" w16cid:durableId="1517958204">
    <w:abstractNumId w:val="2"/>
  </w:num>
  <w:num w:numId="29" w16cid:durableId="983314770">
    <w:abstractNumId w:val="1"/>
  </w:num>
  <w:num w:numId="30" w16cid:durableId="1686587954">
    <w:abstractNumId w:val="0"/>
  </w:num>
  <w:num w:numId="31" w16cid:durableId="1792936532">
    <w:abstractNumId w:val="9"/>
  </w:num>
  <w:num w:numId="32" w16cid:durableId="217129192">
    <w:abstractNumId w:val="7"/>
  </w:num>
  <w:num w:numId="33" w16cid:durableId="910191831">
    <w:abstractNumId w:val="6"/>
  </w:num>
  <w:num w:numId="34" w16cid:durableId="1705206490">
    <w:abstractNumId w:val="5"/>
  </w:num>
  <w:num w:numId="35" w16cid:durableId="1766031075">
    <w:abstractNumId w:val="4"/>
  </w:num>
  <w:num w:numId="36" w16cid:durableId="1614708400">
    <w:abstractNumId w:val="8"/>
  </w:num>
  <w:num w:numId="37" w16cid:durableId="719138391">
    <w:abstractNumId w:val="3"/>
  </w:num>
  <w:num w:numId="38" w16cid:durableId="1805074571">
    <w:abstractNumId w:val="2"/>
  </w:num>
  <w:num w:numId="39" w16cid:durableId="576595533">
    <w:abstractNumId w:val="1"/>
  </w:num>
  <w:num w:numId="40" w16cid:durableId="1627541688">
    <w:abstractNumId w:val="0"/>
  </w:num>
  <w:num w:numId="41" w16cid:durableId="1385637821">
    <w:abstractNumId w:val="10"/>
  </w:num>
  <w:num w:numId="42" w16cid:durableId="444924765">
    <w:abstractNumId w:val="10"/>
  </w:num>
  <w:num w:numId="43" w16cid:durableId="869492487">
    <w:abstractNumId w:val="10"/>
  </w:num>
  <w:num w:numId="44" w16cid:durableId="1331325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DA"/>
    <w:docVar w:name="dvnumam" w:val="91"/>
    <w:docVar w:name="dvpe" w:val="774.316"/>
    <w:docVar w:name="dvrapporteur" w:val="Ordfører: "/>
    <w:docVar w:name="dvstar" w:val="***I"/>
    <w:docVar w:name="dvtitre" w:val="Europa-Parlamentets lovgivningsmæssige beslutning af xx. februar 2026 om forslag til Europa-Parlamentets og Rådets forordning om ændring af forordning (EU) nr. 1308/2013, (EU) 2021/2115 og (EU) nr. 251/2014 for så vidt angår visse markedsregler og sektorstøtteforanstaltninger i vinsektoren og for aromatiserede vinprodukter(COM(2025)0137 – C10-0058/2025 – 2025/0071(COD))"/>
  </w:docVars>
  <w:rsids>
    <w:rsidRoot w:val="003A58B0"/>
    <w:rsid w:val="00002272"/>
    <w:rsid w:val="00064002"/>
    <w:rsid w:val="00066C5D"/>
    <w:rsid w:val="000677B9"/>
    <w:rsid w:val="000831BA"/>
    <w:rsid w:val="00084A56"/>
    <w:rsid w:val="000A42CC"/>
    <w:rsid w:val="000E7DD9"/>
    <w:rsid w:val="0010095E"/>
    <w:rsid w:val="00125B37"/>
    <w:rsid w:val="00184469"/>
    <w:rsid w:val="00187494"/>
    <w:rsid w:val="001962C8"/>
    <w:rsid w:val="001D3BEF"/>
    <w:rsid w:val="001F32AE"/>
    <w:rsid w:val="00271139"/>
    <w:rsid w:val="002767FF"/>
    <w:rsid w:val="002B18FE"/>
    <w:rsid w:val="002B5493"/>
    <w:rsid w:val="002D5D08"/>
    <w:rsid w:val="00343214"/>
    <w:rsid w:val="00361C00"/>
    <w:rsid w:val="00395FA1"/>
    <w:rsid w:val="003A58B0"/>
    <w:rsid w:val="003E15D4"/>
    <w:rsid w:val="0040329E"/>
    <w:rsid w:val="00411CCE"/>
    <w:rsid w:val="0041666E"/>
    <w:rsid w:val="00421060"/>
    <w:rsid w:val="004410E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311"/>
    <w:rsid w:val="00747932"/>
    <w:rsid w:val="00751A4A"/>
    <w:rsid w:val="00756632"/>
    <w:rsid w:val="00762C74"/>
    <w:rsid w:val="00786EC0"/>
    <w:rsid w:val="007D1690"/>
    <w:rsid w:val="007D6F02"/>
    <w:rsid w:val="007E22AD"/>
    <w:rsid w:val="00813124"/>
    <w:rsid w:val="00817416"/>
    <w:rsid w:val="00842779"/>
    <w:rsid w:val="00865F67"/>
    <w:rsid w:val="00881A7B"/>
    <w:rsid w:val="008840E5"/>
    <w:rsid w:val="00887B3E"/>
    <w:rsid w:val="008A1499"/>
    <w:rsid w:val="008C2AC6"/>
    <w:rsid w:val="00930C23"/>
    <w:rsid w:val="0093193B"/>
    <w:rsid w:val="009509D8"/>
    <w:rsid w:val="00950B64"/>
    <w:rsid w:val="00981893"/>
    <w:rsid w:val="009D4FD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FEE"/>
    <w:rsid w:val="00D23997"/>
    <w:rsid w:val="00D56C11"/>
    <w:rsid w:val="00D64FB2"/>
    <w:rsid w:val="00D72F7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08B"/>
    <w:rsid w:val="00F04346"/>
    <w:rsid w:val="00F075DC"/>
    <w:rsid w:val="00F149E9"/>
    <w:rsid w:val="00F5134D"/>
    <w:rsid w:val="00F74202"/>
    <w:rsid w:val="00F87713"/>
    <w:rsid w:val="00F9682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9D6AC"/>
  <w15:chartTrackingRefBased/>
  <w15:docId w15:val="{58D2A180-76C1-412C-BDAD-F565C69C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D4FD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D4FD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D4FD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D4FD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D4FD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D4FD9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9D4FD9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9D4FD9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9D4FD9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9D4FD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D4FD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D4FD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D4FD9"/>
    <w:pPr>
      <w:spacing w:after="120"/>
    </w:pPr>
  </w:style>
  <w:style w:type="paragraph" w:customStyle="1" w:styleId="PageHeading">
    <w:name w:val="PageHeading"/>
    <w:basedOn w:val="Normal"/>
    <w:rsid w:val="009D4FD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D4FD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D4FD9"/>
    <w:rPr>
      <w:b/>
      <w:sz w:val="24"/>
      <w:lang w:val="da-DK"/>
    </w:rPr>
  </w:style>
  <w:style w:type="paragraph" w:customStyle="1" w:styleId="NormalBold12a">
    <w:name w:val="NormalBold12a"/>
    <w:basedOn w:val="Normal"/>
    <w:rsid w:val="009D4FD9"/>
    <w:pPr>
      <w:spacing w:after="240"/>
    </w:pPr>
    <w:rPr>
      <w:b/>
    </w:rPr>
  </w:style>
  <w:style w:type="paragraph" w:customStyle="1" w:styleId="AmJustText">
    <w:name w:val="AmJustText"/>
    <w:basedOn w:val="Normal"/>
    <w:rsid w:val="009D4FD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D4FD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D4FD9"/>
    <w:pPr>
      <w:spacing w:after="480"/>
      <w:ind w:left="1417"/>
    </w:pPr>
  </w:style>
  <w:style w:type="paragraph" w:customStyle="1" w:styleId="CoverNormal">
    <w:name w:val="CoverNormal"/>
    <w:basedOn w:val="Normal"/>
    <w:rsid w:val="009D4FD9"/>
    <w:pPr>
      <w:ind w:left="1418"/>
    </w:pPr>
  </w:style>
  <w:style w:type="paragraph" w:customStyle="1" w:styleId="AmCrossRef">
    <w:name w:val="AmCrossRef"/>
    <w:basedOn w:val="Normal"/>
    <w:rsid w:val="009D4FD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D4FD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D4FD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D4FD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D4FD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D4FD9"/>
    <w:pPr>
      <w:spacing w:before="240" w:after="1200"/>
    </w:pPr>
  </w:style>
  <w:style w:type="paragraph" w:styleId="Header">
    <w:name w:val="header"/>
    <w:basedOn w:val="Normal"/>
    <w:link w:val="HeaderChar"/>
    <w:rsid w:val="009D4F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D4FD9"/>
    <w:rPr>
      <w:sz w:val="24"/>
      <w:lang w:val="da-DK"/>
    </w:rPr>
  </w:style>
  <w:style w:type="paragraph" w:customStyle="1" w:styleId="AmOrLang">
    <w:name w:val="AmOrLang"/>
    <w:basedOn w:val="Normal"/>
    <w:rsid w:val="009D4FD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D4FD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D4F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D4FD9"/>
    <w:pPr>
      <w:spacing w:before="240"/>
    </w:pPr>
    <w:rPr>
      <w:b/>
    </w:rPr>
  </w:style>
  <w:style w:type="paragraph" w:customStyle="1" w:styleId="EPBody">
    <w:name w:val="EPBody"/>
    <w:basedOn w:val="Normal"/>
    <w:rsid w:val="009D4FD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D4FD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D4FD9"/>
    <w:pPr>
      <w:spacing w:before="480" w:after="240"/>
    </w:pPr>
  </w:style>
  <w:style w:type="paragraph" w:customStyle="1" w:styleId="Lgendesigne">
    <w:name w:val="Légende signe"/>
    <w:basedOn w:val="Normal"/>
    <w:rsid w:val="009D4FD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D4FD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D4FD9"/>
    <w:rPr>
      <w:sz w:val="18"/>
    </w:rPr>
  </w:style>
  <w:style w:type="character" w:customStyle="1" w:styleId="FooterChar">
    <w:name w:val="Footer Char"/>
    <w:basedOn w:val="DefaultParagraphFont"/>
    <w:link w:val="Footer"/>
    <w:rsid w:val="009D4FD9"/>
    <w:rPr>
      <w:sz w:val="22"/>
    </w:rPr>
  </w:style>
  <w:style w:type="paragraph" w:styleId="Footer">
    <w:name w:val="footer"/>
    <w:link w:val="FooterChar"/>
    <w:unhideWhenUsed/>
    <w:rsid w:val="009D4FD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9D4FD9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9D4FD9"/>
    <w:rPr>
      <w:noProof/>
      <w:sz w:val="24"/>
    </w:rPr>
  </w:style>
  <w:style w:type="paragraph" w:customStyle="1" w:styleId="Normal12">
    <w:name w:val="Normal12"/>
    <w:basedOn w:val="Normal"/>
    <w:link w:val="Normal12Char"/>
    <w:rsid w:val="009D4FD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D4FD9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9D4FD9"/>
    <w:pPr>
      <w:spacing w:after="120"/>
    </w:pPr>
  </w:style>
  <w:style w:type="paragraph" w:customStyle="1" w:styleId="Normal12Italic">
    <w:name w:val="Normal12Italic"/>
    <w:basedOn w:val="Normal12"/>
    <w:rsid w:val="009D4FD9"/>
    <w:rPr>
      <w:i/>
    </w:rPr>
  </w:style>
  <w:style w:type="paragraph" w:customStyle="1" w:styleId="Footer2">
    <w:name w:val="Footer2"/>
    <w:basedOn w:val="Normal12"/>
    <w:rsid w:val="009D4FD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9D4FD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D4F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D4FD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D4FD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D4FD9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9D4FD9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9D4FD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D4FD9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9D4F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4FD9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9D4F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4F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D4FD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D4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D4FD9"/>
    <w:rPr>
      <w:b/>
      <w:bCs/>
      <w:lang w:val="da-DK"/>
    </w:rPr>
  </w:style>
  <w:style w:type="paragraph" w:customStyle="1" w:styleId="Point1">
    <w:name w:val="Point 1"/>
    <w:basedOn w:val="Normal"/>
    <w:rsid w:val="009D4FD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9D4FD9"/>
    <w:rPr>
      <w:i/>
      <w:iCs/>
    </w:rPr>
  </w:style>
  <w:style w:type="paragraph" w:styleId="Revision">
    <w:name w:val="Revision"/>
    <w:hidden/>
    <w:uiPriority w:val="99"/>
    <w:semiHidden/>
    <w:rsid w:val="009D4FD9"/>
    <w:rPr>
      <w:sz w:val="24"/>
      <w:lang w:val="da-DK"/>
    </w:rPr>
  </w:style>
  <w:style w:type="paragraph" w:customStyle="1" w:styleId="Normal12a">
    <w:name w:val="Normal12a"/>
    <w:basedOn w:val="Normal"/>
    <w:rsid w:val="009D4FD9"/>
    <w:pPr>
      <w:spacing w:after="240"/>
    </w:pPr>
  </w:style>
  <w:style w:type="paragraph" w:customStyle="1" w:styleId="RollCallVotes">
    <w:name w:val="RollCallVotes"/>
    <w:basedOn w:val="Normal"/>
    <w:rsid w:val="009D4FD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D4FD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D4FD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D4FD9"/>
    <w:pPr>
      <w:spacing w:before="120" w:after="120"/>
    </w:pPr>
    <w:rPr>
      <w:snapToGrid w:val="0"/>
      <w:sz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3BEF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084A56"/>
    <w:rPr>
      <w:color w:val="0563C1"/>
      <w:u w:val="single"/>
    </w:rPr>
  </w:style>
  <w:style w:type="character" w:styleId="FollowedHyperlink">
    <w:name w:val="FollowedHyperlink"/>
    <w:basedOn w:val="DefaultParagraphFont"/>
    <w:rsid w:val="00066C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3935</Characters>
  <Application>Microsoft Office Word</Application>
  <DocSecurity>0</DocSecurity>
  <Lines>135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TOP TA</cp:lastModifiedBy>
  <cp:revision>2</cp:revision>
  <cp:lastPrinted>2004-11-19T15:42:00Z</cp:lastPrinted>
  <dcterms:created xsi:type="dcterms:W3CDTF">2026-04-13T15:45:00Z</dcterms:created>
  <dcterms:modified xsi:type="dcterms:W3CDTF">2026-04-13T15:45:00Z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