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0EEB" w14:paraId="4CF90850" w14:textId="77777777" w:rsidTr="0010095E">
        <w:trPr>
          <w:trHeight w:hRule="exact" w:val="1418"/>
        </w:trPr>
        <w:tc>
          <w:tcPr>
            <w:tcW w:w="6804" w:type="dxa"/>
            <w:shd w:val="clear" w:color="auto" w:fill="auto"/>
            <w:vAlign w:val="center"/>
          </w:tcPr>
          <w:p w14:paraId="62EA3645" w14:textId="77777777" w:rsidR="00751A4A" w:rsidRPr="002C0EEB" w:rsidRDefault="00A06748" w:rsidP="0010095E">
            <w:pPr>
              <w:pStyle w:val="EPName"/>
            </w:pPr>
            <w:r w:rsidRPr="002C0EEB">
              <w:t>European Parliament</w:t>
            </w:r>
          </w:p>
          <w:p w14:paraId="4E30CE3C" w14:textId="77777777" w:rsidR="00751A4A" w:rsidRPr="002C0EEB" w:rsidRDefault="005F1B17" w:rsidP="005F1B17">
            <w:pPr>
              <w:pStyle w:val="EPTerm"/>
              <w:rPr>
                <w:rStyle w:val="HideTWBExt"/>
                <w:noProof w:val="0"/>
                <w:vanish w:val="0"/>
                <w:color w:val="auto"/>
              </w:rPr>
            </w:pPr>
            <w:r w:rsidRPr="002C0EEB">
              <w:t>2024</w:t>
            </w:r>
            <w:r w:rsidR="00817416" w:rsidRPr="002C0EEB">
              <w:t>-202</w:t>
            </w:r>
            <w:r w:rsidRPr="002C0EEB">
              <w:t>9</w:t>
            </w:r>
          </w:p>
        </w:tc>
        <w:tc>
          <w:tcPr>
            <w:tcW w:w="2268" w:type="dxa"/>
            <w:shd w:val="clear" w:color="auto" w:fill="auto"/>
          </w:tcPr>
          <w:p w14:paraId="4164A41F" w14:textId="77777777" w:rsidR="00751A4A" w:rsidRPr="002C0EEB" w:rsidRDefault="00187494" w:rsidP="0010095E">
            <w:pPr>
              <w:pStyle w:val="EPLogo"/>
            </w:pPr>
            <w:r w:rsidRPr="002C0EEB">
              <w:rPr>
                <w:noProof/>
                <w:lang w:eastAsia="ja-JP"/>
              </w:rPr>
              <w:drawing>
                <wp:inline distT="0" distB="0" distL="0" distR="0" wp14:anchorId="45FE084A" wp14:editId="3D90EBE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8C0B0BE" w14:textId="77777777" w:rsidR="00D058B8" w:rsidRPr="002C0EEB" w:rsidRDefault="00D058B8" w:rsidP="004C5D52">
      <w:pPr>
        <w:pStyle w:val="LineTop"/>
      </w:pPr>
    </w:p>
    <w:p w14:paraId="63492E08" w14:textId="77777777" w:rsidR="00680577" w:rsidRPr="002C0EEB" w:rsidRDefault="00A06748" w:rsidP="00680577">
      <w:pPr>
        <w:pStyle w:val="EPBodyTA1"/>
      </w:pPr>
      <w:r w:rsidRPr="002C0EEB">
        <w:t>TEXTS ADOPTED</w:t>
      </w:r>
    </w:p>
    <w:p w14:paraId="0977CDEA" w14:textId="77777777" w:rsidR="00D058B8" w:rsidRPr="002C0EEB" w:rsidRDefault="00D058B8" w:rsidP="00D058B8">
      <w:pPr>
        <w:pStyle w:val="LineBottom"/>
      </w:pPr>
    </w:p>
    <w:p w14:paraId="542337CA" w14:textId="028CBC1C" w:rsidR="00A06748" w:rsidRPr="002C0EEB" w:rsidRDefault="00A06748" w:rsidP="00A06748">
      <w:pPr>
        <w:pStyle w:val="ATHeading1"/>
      </w:pPr>
      <w:bookmarkStart w:id="0" w:name="TANumber"/>
      <w:r w:rsidRPr="002C0EEB">
        <w:t>P10_TA(2026)</w:t>
      </w:r>
      <w:bookmarkEnd w:id="0"/>
      <w:r w:rsidR="00946A18">
        <w:t>0028</w:t>
      </w:r>
    </w:p>
    <w:p w14:paraId="6620198C" w14:textId="3F433E11" w:rsidR="00A06748" w:rsidRPr="002C0EEB" w:rsidRDefault="00A06748" w:rsidP="00A06748">
      <w:pPr>
        <w:pStyle w:val="ATHeading2"/>
      </w:pPr>
      <w:bookmarkStart w:id="1" w:name="title"/>
      <w:r w:rsidRPr="002C0EEB">
        <w:t>Amend</w:t>
      </w:r>
      <w:r w:rsidR="00F13EF4" w:rsidRPr="002C0EEB">
        <w:t>ing</w:t>
      </w:r>
      <w:r w:rsidRPr="002C0EEB">
        <w:t xml:space="preserve"> Regulations </w:t>
      </w:r>
      <w:r w:rsidR="00F13EF4" w:rsidRPr="002C0EEB">
        <w:t xml:space="preserve">on agricultural products </w:t>
      </w:r>
      <w:r w:rsidRPr="002C0EEB">
        <w:t xml:space="preserve">as regards market rules and sectoral support </w:t>
      </w:r>
      <w:r w:rsidR="00F13EF4" w:rsidRPr="002C0EEB">
        <w:t>measures</w:t>
      </w:r>
      <w:r w:rsidRPr="002C0EEB">
        <w:t xml:space="preserve"> </w:t>
      </w:r>
      <w:r w:rsidR="00F13EF4" w:rsidRPr="002C0EEB">
        <w:t xml:space="preserve">in the </w:t>
      </w:r>
      <w:r w:rsidRPr="002C0EEB">
        <w:t>wine</w:t>
      </w:r>
      <w:r w:rsidR="00F13EF4" w:rsidRPr="002C0EEB">
        <w:t xml:space="preserve"> sector</w:t>
      </w:r>
      <w:r w:rsidRPr="002C0EEB">
        <w:t xml:space="preserve"> and </w:t>
      </w:r>
      <w:r w:rsidR="00F13EF4" w:rsidRPr="002C0EEB">
        <w:t xml:space="preserve">for </w:t>
      </w:r>
      <w:r w:rsidRPr="002C0EEB">
        <w:t>aromatised wine products</w:t>
      </w:r>
      <w:bookmarkEnd w:id="1"/>
    </w:p>
    <w:p w14:paraId="7880EF8A" w14:textId="77777777" w:rsidR="00A06748" w:rsidRPr="002C0EEB" w:rsidRDefault="00A06748" w:rsidP="00A06748">
      <w:pPr>
        <w:rPr>
          <w:i/>
          <w:vanish/>
        </w:rPr>
      </w:pPr>
      <w:r w:rsidRPr="002C0EEB">
        <w:rPr>
          <w:i/>
        </w:rPr>
        <w:fldChar w:fldCharType="begin"/>
      </w:r>
      <w:r w:rsidRPr="002C0EEB">
        <w:rPr>
          <w:i/>
        </w:rPr>
        <w:instrText xml:space="preserve"> TC"(</w:instrText>
      </w:r>
      <w:bookmarkStart w:id="2" w:name="DocNumber"/>
      <w:r w:rsidRPr="002C0EEB">
        <w:rPr>
          <w:i/>
        </w:rPr>
        <w:instrText>A10-0220/2025</w:instrText>
      </w:r>
      <w:bookmarkEnd w:id="2"/>
      <w:r w:rsidRPr="002C0EEB">
        <w:rPr>
          <w:i/>
        </w:rPr>
        <w:instrText xml:space="preserve"> - Rapporteur: Esther Herranz García)"\l3 \n&gt; \* MERGEFORMAT </w:instrText>
      </w:r>
      <w:r w:rsidRPr="002C0EEB">
        <w:rPr>
          <w:i/>
        </w:rPr>
        <w:fldChar w:fldCharType="end"/>
      </w:r>
    </w:p>
    <w:p w14:paraId="05727F9E" w14:textId="77777777" w:rsidR="00A06748" w:rsidRPr="002C0EEB" w:rsidRDefault="00A06748" w:rsidP="00A06748">
      <w:pPr>
        <w:rPr>
          <w:vanish/>
        </w:rPr>
      </w:pPr>
      <w:bookmarkStart w:id="3" w:name="Commission"/>
      <w:r w:rsidRPr="002C0EEB">
        <w:rPr>
          <w:vanish/>
        </w:rPr>
        <w:t>Committee on Agriculture and Rural Development</w:t>
      </w:r>
      <w:bookmarkEnd w:id="3"/>
    </w:p>
    <w:p w14:paraId="149674E4" w14:textId="77777777" w:rsidR="00A06748" w:rsidRPr="002C0EEB" w:rsidRDefault="00A06748" w:rsidP="00A06748">
      <w:pPr>
        <w:rPr>
          <w:vanish/>
        </w:rPr>
      </w:pPr>
      <w:bookmarkStart w:id="4" w:name="PE"/>
      <w:r w:rsidRPr="002C0EEB">
        <w:rPr>
          <w:vanish/>
        </w:rPr>
        <w:t>PE774.316</w:t>
      </w:r>
      <w:bookmarkEnd w:id="4"/>
    </w:p>
    <w:p w14:paraId="6B0F13E9" w14:textId="11B0E247" w:rsidR="00A06748" w:rsidRPr="002C0EEB" w:rsidRDefault="00A06748" w:rsidP="00A06748">
      <w:pPr>
        <w:pStyle w:val="ATHeading3"/>
      </w:pPr>
      <w:bookmarkStart w:id="5" w:name="Sujet"/>
      <w:r w:rsidRPr="002C0EEB">
        <w:t xml:space="preserve">European Parliament legislative resolution of </w:t>
      </w:r>
      <w:r w:rsidR="005C2FC4" w:rsidRPr="002C0EEB">
        <w:t>10</w:t>
      </w:r>
      <w:r w:rsidRPr="002C0EEB">
        <w:t xml:space="preserve"> February 2026 on the proposal for a regulation of the European Parliament and of the Council amending Regulations (EU) No 1308/2013, (EU) 2021/2115 and (EU) No 251/2014 as regards certain market rules and sectoral support measures in the wine sector and for aromatised wine products</w:t>
      </w:r>
      <w:bookmarkEnd w:id="5"/>
      <w:r w:rsidRPr="002C0EEB">
        <w:t xml:space="preserve"> </w:t>
      </w:r>
      <w:bookmarkStart w:id="6" w:name="References"/>
      <w:r w:rsidRPr="002C0EEB">
        <w:t>(</w:t>
      </w:r>
      <w:proofErr w:type="gramStart"/>
      <w:r w:rsidRPr="002C0EEB">
        <w:t>COM(</w:t>
      </w:r>
      <w:proofErr w:type="gramEnd"/>
      <w:r w:rsidRPr="002C0EEB">
        <w:t>2025)0137 – C10-0058/2025 – 2025/0071(COD))</w:t>
      </w:r>
      <w:bookmarkEnd w:id="6"/>
    </w:p>
    <w:p w14:paraId="307F3506" w14:textId="77777777" w:rsidR="00363A46" w:rsidRPr="002C0EEB" w:rsidRDefault="00363A46" w:rsidP="00363A46">
      <w:pPr>
        <w:pStyle w:val="NormalBold"/>
      </w:pPr>
      <w:r w:rsidRPr="002C0EEB">
        <w:t>(Ordinary legislative procedure: first reading)</w:t>
      </w:r>
    </w:p>
    <w:p w14:paraId="1B21E29A" w14:textId="77777777" w:rsidR="00363A46" w:rsidRPr="002C0EEB" w:rsidRDefault="00363A46" w:rsidP="00363A46">
      <w:pPr>
        <w:pStyle w:val="EPComma"/>
      </w:pPr>
      <w:r w:rsidRPr="002C0EEB">
        <w:rPr>
          <w:i/>
        </w:rPr>
        <w:t>The European Parliament</w:t>
      </w:r>
      <w:r w:rsidRPr="002C0EEB">
        <w:t>,</w:t>
      </w:r>
    </w:p>
    <w:p w14:paraId="7DFEE2FE" w14:textId="77777777" w:rsidR="00363A46" w:rsidRPr="002C0EEB" w:rsidRDefault="00363A46" w:rsidP="002F4D8D">
      <w:pPr>
        <w:pStyle w:val="NormalHanging12a"/>
        <w:widowControl/>
      </w:pPr>
      <w:r w:rsidRPr="002C0EEB">
        <w:t>–</w:t>
      </w:r>
      <w:r w:rsidRPr="002C0EEB">
        <w:tab/>
        <w:t>having regard to the Commission proposal to Parliament and the Council (</w:t>
      </w:r>
      <w:proofErr w:type="gramStart"/>
      <w:r w:rsidRPr="002C0EEB">
        <w:t>COM(</w:t>
      </w:r>
      <w:proofErr w:type="gramEnd"/>
      <w:r w:rsidRPr="002C0EEB">
        <w:t>2025)0137),</w:t>
      </w:r>
    </w:p>
    <w:p w14:paraId="36571B31" w14:textId="458D3BFF" w:rsidR="00363A46" w:rsidRPr="002C0EEB" w:rsidRDefault="00363A46" w:rsidP="002F4D8D">
      <w:pPr>
        <w:pStyle w:val="NormalHanging12a"/>
        <w:widowControl/>
      </w:pPr>
      <w:r w:rsidRPr="002C0EEB">
        <w:t>–</w:t>
      </w:r>
      <w:r w:rsidRPr="002C0EEB">
        <w:tab/>
        <w:t>having regard to Article 294(2), Article 42, first paragraph, and Article 43(2) of the Treaty on the Functioning of the European Union, pursuant to which the Commission submitted the proposal to Parliament (C10</w:t>
      </w:r>
      <w:r w:rsidRPr="002C0EEB">
        <w:noBreakHyphen/>
        <w:t>0058/2025),</w:t>
      </w:r>
    </w:p>
    <w:p w14:paraId="46BAF673" w14:textId="77777777" w:rsidR="00363A46" w:rsidRPr="002C0EEB" w:rsidRDefault="00363A46" w:rsidP="002F4D8D">
      <w:pPr>
        <w:pStyle w:val="NormalHanging12a"/>
        <w:widowControl/>
      </w:pPr>
      <w:r w:rsidRPr="002C0EEB">
        <w:t>–</w:t>
      </w:r>
      <w:r w:rsidRPr="002C0EEB">
        <w:tab/>
        <w:t>having regard to Article 294(3) of the Treaty on the Functioning of the European Union,</w:t>
      </w:r>
    </w:p>
    <w:p w14:paraId="0D8D76D7" w14:textId="14A46174" w:rsidR="00363A46" w:rsidRPr="002C0EEB" w:rsidRDefault="00363A46" w:rsidP="002F4D8D">
      <w:pPr>
        <w:pStyle w:val="NormalHanging12a"/>
        <w:widowControl/>
      </w:pPr>
      <w:r w:rsidRPr="002C0EEB">
        <w:t>–</w:t>
      </w:r>
      <w:r w:rsidRPr="002C0EEB">
        <w:tab/>
        <w:t>having regard to the opinion of the European Economic and Social Committee of 17</w:t>
      </w:r>
      <w:r w:rsidR="002F4D8D" w:rsidRPr="002C0EEB">
        <w:t> </w:t>
      </w:r>
      <w:r w:rsidRPr="002C0EEB">
        <w:t>July</w:t>
      </w:r>
      <w:r w:rsidR="002F4D8D" w:rsidRPr="002C0EEB">
        <w:t> </w:t>
      </w:r>
      <w:r w:rsidRPr="002C0EEB">
        <w:t>2025</w:t>
      </w:r>
      <w:r w:rsidRPr="002C0EEB">
        <w:rPr>
          <w:rStyle w:val="FootnoteReference"/>
        </w:rPr>
        <w:footnoteReference w:id="1"/>
      </w:r>
      <w:r w:rsidRPr="002C0EEB">
        <w:t>,</w:t>
      </w:r>
    </w:p>
    <w:p w14:paraId="0714E083" w14:textId="394AFD3B" w:rsidR="00363A46" w:rsidRPr="002C0EEB" w:rsidRDefault="00363A46" w:rsidP="002F4D8D">
      <w:pPr>
        <w:pStyle w:val="NormalHanging12a"/>
        <w:widowControl/>
      </w:pPr>
      <w:r w:rsidRPr="002C0EEB">
        <w:t>–</w:t>
      </w:r>
      <w:r w:rsidRPr="002C0EEB">
        <w:tab/>
        <w:t xml:space="preserve">having regard to the opinion of the Committee of the Regions of </w:t>
      </w:r>
      <w:r w:rsidR="00F751C8" w:rsidRPr="002C0EEB">
        <w:t>2</w:t>
      </w:r>
      <w:r w:rsidR="002F4D8D" w:rsidRPr="002C0EEB">
        <w:t> </w:t>
      </w:r>
      <w:r w:rsidRPr="002C0EEB">
        <w:t>July</w:t>
      </w:r>
      <w:r w:rsidR="002F4D8D" w:rsidRPr="002C0EEB">
        <w:t> </w:t>
      </w:r>
      <w:r w:rsidRPr="002C0EEB">
        <w:t>2025</w:t>
      </w:r>
      <w:r w:rsidRPr="002C0EEB">
        <w:rPr>
          <w:rStyle w:val="FootnoteReference"/>
        </w:rPr>
        <w:footnoteReference w:id="2"/>
      </w:r>
      <w:r w:rsidRPr="002C0EEB">
        <w:t>,</w:t>
      </w:r>
    </w:p>
    <w:p w14:paraId="5A9155CE" w14:textId="6A752458" w:rsidR="007037BB" w:rsidRPr="002C0EEB" w:rsidRDefault="007037BB" w:rsidP="002F4D8D">
      <w:pPr>
        <w:pStyle w:val="NormalHanging12a"/>
        <w:widowControl/>
      </w:pPr>
      <w:r w:rsidRPr="002C0EEB">
        <w:t xml:space="preserve">– </w:t>
      </w:r>
      <w:r w:rsidRPr="002C0EEB">
        <w:tab/>
        <w:t>having regard to the provisional agreement approved by the committee responsible under Rule 75(4) of its Rules of Procedure and the undertaking given by the Council representative by letter of 1</w:t>
      </w:r>
      <w:r w:rsidR="000A59C2" w:rsidRPr="002C0EEB">
        <w:t>6</w:t>
      </w:r>
      <w:r w:rsidRPr="002C0EEB">
        <w:t xml:space="preserve"> December 2025 to approve Parliament’s position, in accordance with Article 294(4) of the Treaty on the Functioning of the European Union,</w:t>
      </w:r>
    </w:p>
    <w:p w14:paraId="46F5C33A" w14:textId="77777777" w:rsidR="00363A46" w:rsidRPr="002C0EEB" w:rsidRDefault="00363A46" w:rsidP="002F4D8D">
      <w:pPr>
        <w:pStyle w:val="NormalHanging12a"/>
        <w:widowControl/>
      </w:pPr>
      <w:r w:rsidRPr="002C0EEB">
        <w:t>–</w:t>
      </w:r>
      <w:r w:rsidRPr="002C0EEB">
        <w:tab/>
        <w:t>having regard to Rule 60 of its Rules of Procedure,</w:t>
      </w:r>
    </w:p>
    <w:p w14:paraId="5D4F6667" w14:textId="77777777" w:rsidR="00363A46" w:rsidRPr="002C0EEB" w:rsidRDefault="00363A46" w:rsidP="002F4D8D">
      <w:pPr>
        <w:pStyle w:val="NormalHanging12a"/>
        <w:widowControl/>
      </w:pPr>
      <w:r w:rsidRPr="002C0EEB">
        <w:lastRenderedPageBreak/>
        <w:t>–</w:t>
      </w:r>
      <w:r w:rsidRPr="002C0EEB">
        <w:tab/>
        <w:t>having regard to the report of the Committee on Agriculture and Rural Development (A10-0220/2025),</w:t>
      </w:r>
    </w:p>
    <w:p w14:paraId="4A18718E" w14:textId="77777777" w:rsidR="00363A46" w:rsidRPr="002C0EEB" w:rsidRDefault="00363A46" w:rsidP="002F4D8D">
      <w:pPr>
        <w:pStyle w:val="NormalHanging12a"/>
        <w:widowControl/>
      </w:pPr>
      <w:r w:rsidRPr="002C0EEB">
        <w:t>1.</w:t>
      </w:r>
      <w:r w:rsidRPr="002C0EEB">
        <w:tab/>
        <w:t xml:space="preserve">Adopts its position at first reading hereinafter set </w:t>
      </w:r>
      <w:proofErr w:type="gramStart"/>
      <w:r w:rsidRPr="002C0EEB">
        <w:t>out;</w:t>
      </w:r>
      <w:proofErr w:type="gramEnd"/>
    </w:p>
    <w:p w14:paraId="02BB8A98" w14:textId="0CE1A165" w:rsidR="0047333D" w:rsidRPr="002C0EEB" w:rsidRDefault="00874AD5" w:rsidP="002F4D8D">
      <w:pPr>
        <w:pStyle w:val="NormalHanging12a"/>
        <w:widowControl/>
      </w:pPr>
      <w:r w:rsidRPr="002C0EEB">
        <w:t>2</w:t>
      </w:r>
      <w:r w:rsidR="0047333D" w:rsidRPr="002C0EEB">
        <w:t xml:space="preserve">. </w:t>
      </w:r>
      <w:r w:rsidR="0047333D" w:rsidRPr="002C0EEB">
        <w:tab/>
        <w:t xml:space="preserve">Takes note of the statement by the Commission annexed to this resolution, which will be published in the C series of the </w:t>
      </w:r>
      <w:r w:rsidR="0047333D" w:rsidRPr="002C0EEB">
        <w:rPr>
          <w:i/>
          <w:iCs/>
        </w:rPr>
        <w:t xml:space="preserve">Official Journal of the European </w:t>
      </w:r>
      <w:proofErr w:type="gramStart"/>
      <w:r w:rsidR="0047333D" w:rsidRPr="002C0EEB">
        <w:rPr>
          <w:i/>
          <w:iCs/>
        </w:rPr>
        <w:t>Union</w:t>
      </w:r>
      <w:r w:rsidR="0047333D" w:rsidRPr="002C0EEB">
        <w:t>;</w:t>
      </w:r>
      <w:proofErr w:type="gramEnd"/>
    </w:p>
    <w:p w14:paraId="26C94342" w14:textId="46F954D1" w:rsidR="00363A46" w:rsidRPr="002C0EEB" w:rsidRDefault="00874AD5" w:rsidP="002F4D8D">
      <w:pPr>
        <w:pStyle w:val="NormalHanging12a"/>
        <w:widowControl/>
      </w:pPr>
      <w:r w:rsidRPr="002C0EEB">
        <w:t>3</w:t>
      </w:r>
      <w:r w:rsidR="00363A46" w:rsidRPr="002C0EEB">
        <w:t>.</w:t>
      </w:r>
      <w:r w:rsidR="00363A46" w:rsidRPr="002C0EEB">
        <w:tab/>
        <w:t xml:space="preserve">Calls on the Commission to refer the matter to Parliament again if it replaces, substantially amends or intends to substantially amend its </w:t>
      </w:r>
      <w:proofErr w:type="gramStart"/>
      <w:r w:rsidR="00363A46" w:rsidRPr="002C0EEB">
        <w:t>proposal;</w:t>
      </w:r>
      <w:proofErr w:type="gramEnd"/>
    </w:p>
    <w:p w14:paraId="18D278E8" w14:textId="6637A772" w:rsidR="0047333D" w:rsidRPr="002C0EEB" w:rsidRDefault="00874AD5" w:rsidP="002F4D8D">
      <w:pPr>
        <w:pStyle w:val="NormalHanging12a"/>
        <w:widowControl/>
        <w:sectPr w:rsidR="0047333D" w:rsidRPr="002C0EEB" w:rsidSect="003D067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2C0EEB">
        <w:t>4</w:t>
      </w:r>
      <w:r w:rsidR="00363A46" w:rsidRPr="002C0EEB">
        <w:t>.</w:t>
      </w:r>
      <w:r w:rsidR="00363A46" w:rsidRPr="002C0EEB">
        <w:tab/>
        <w:t>Instructs its President to forward its position to the Council, the Commission and the national parliaments.</w:t>
      </w:r>
    </w:p>
    <w:p w14:paraId="01FD6A9B" w14:textId="6ECC3230" w:rsidR="0047333D" w:rsidRPr="002C0EEB" w:rsidRDefault="0047333D" w:rsidP="0047333D">
      <w:pPr>
        <w:autoSpaceDE w:val="0"/>
        <w:autoSpaceDN w:val="0"/>
        <w:adjustRightInd w:val="0"/>
        <w:spacing w:after="240"/>
        <w:rPr>
          <w:b/>
          <w:bCs/>
          <w:color w:val="000000"/>
        </w:rPr>
      </w:pPr>
      <w:r w:rsidRPr="002C0EEB">
        <w:rPr>
          <w:b/>
          <w:bCs/>
          <w:color w:val="000000"/>
        </w:rPr>
        <w:lastRenderedPageBreak/>
        <w:t>P10_TC1-</w:t>
      </w:r>
      <w:proofErr w:type="gramStart"/>
      <w:r w:rsidRPr="002C0EEB">
        <w:rPr>
          <w:b/>
          <w:bCs/>
          <w:color w:val="000000"/>
        </w:rPr>
        <w:t>COD(</w:t>
      </w:r>
      <w:proofErr w:type="gramEnd"/>
      <w:r w:rsidRPr="002C0EEB">
        <w:rPr>
          <w:b/>
          <w:bCs/>
          <w:color w:val="000000"/>
        </w:rPr>
        <w:t>2025)0071</w:t>
      </w:r>
    </w:p>
    <w:p w14:paraId="71EF5B2D" w14:textId="70936FE8" w:rsidR="0047333D" w:rsidRPr="00A95C35" w:rsidRDefault="0047333D" w:rsidP="0047333D">
      <w:pPr>
        <w:autoSpaceDE w:val="0"/>
        <w:autoSpaceDN w:val="0"/>
        <w:adjustRightInd w:val="0"/>
        <w:spacing w:before="120" w:after="240"/>
        <w:rPr>
          <w:b/>
          <w:bCs/>
        </w:rPr>
      </w:pPr>
      <w:r w:rsidRPr="002C0EEB">
        <w:rPr>
          <w:b/>
          <w:bCs/>
        </w:rPr>
        <w:t>Position of the European Parliament adopted at first reading on 10 February 202</w:t>
      </w:r>
      <w:r w:rsidRPr="002C0EEB">
        <w:rPr>
          <w:b/>
          <w:bCs/>
          <w:lang w:val="ga-IE"/>
        </w:rPr>
        <w:t>6</w:t>
      </w:r>
      <w:r w:rsidRPr="002C0EEB">
        <w:rPr>
          <w:b/>
          <w:bCs/>
        </w:rPr>
        <w:t xml:space="preserve"> with a view to the adoption of Regulation (EU) 2026/… of the European Parliament and of the Council </w:t>
      </w:r>
      <w:bookmarkStart w:id="7" w:name="_DV_M1"/>
      <w:bookmarkStart w:id="8" w:name="_DV_M2"/>
      <w:bookmarkEnd w:id="7"/>
      <w:bookmarkEnd w:id="8"/>
      <w:r w:rsidRPr="002C0EEB">
        <w:rPr>
          <w:b/>
          <w:bCs/>
          <w:lang w:val="en-IE"/>
        </w:rPr>
        <w:t xml:space="preserve">amending Regulations (EU) No 1308/2013, (EU) No 251/2014 and (EU) 2021/2115 as regards certain market rules and sectoral support measures in the wine sector and for aromatised wine </w:t>
      </w:r>
      <w:r w:rsidRPr="00A95C35">
        <w:rPr>
          <w:b/>
          <w:bCs/>
          <w:lang w:val="en-IE"/>
        </w:rPr>
        <w:t>products and Regulation (EU) 2024/1143 as regards certain labelling rules for spirit drinks</w:t>
      </w:r>
    </w:p>
    <w:p w14:paraId="1CD44D50" w14:textId="12BBE136" w:rsidR="00A95C35" w:rsidRPr="00A95C35" w:rsidRDefault="00A95C35" w:rsidP="00A95C35">
      <w:pPr>
        <w:pStyle w:val="NormalHanging12a"/>
        <w:widowControl/>
        <w:ind w:left="0" w:firstLine="0"/>
        <w:rPr>
          <w:i/>
          <w:iCs/>
        </w:rPr>
        <w:sectPr w:rsidR="00A95C35" w:rsidRPr="00A95C35" w:rsidSect="003D0678">
          <w:footnotePr>
            <w:numRestart w:val="eachSect"/>
          </w:footnotePr>
          <w:endnotePr>
            <w:numFmt w:val="decimal"/>
          </w:endnotePr>
          <w:pgSz w:w="11906" w:h="16838" w:code="9"/>
          <w:pgMar w:top="1134" w:right="1418" w:bottom="1418" w:left="1418" w:header="1134" w:footer="567" w:gutter="0"/>
          <w:cols w:space="720"/>
          <w:noEndnote/>
          <w:docGrid w:linePitch="326"/>
        </w:sectPr>
      </w:pPr>
      <w:r w:rsidRPr="00A95C35">
        <w:rPr>
          <w:i/>
          <w:iCs/>
        </w:rPr>
        <w:t>(As an agreement was reached between Parliament and Council, Parliament's position corresponds to the final legislative act, Regulation (EU) 2026/471.)</w:t>
      </w:r>
    </w:p>
    <w:p w14:paraId="146AF688" w14:textId="519090D7" w:rsidR="0047333D" w:rsidRPr="002A6849" w:rsidRDefault="0047333D" w:rsidP="0047333D">
      <w:pPr>
        <w:pStyle w:val="NormalHanging12a"/>
        <w:widowControl/>
        <w:jc w:val="right"/>
      </w:pPr>
      <w:r w:rsidRPr="002A6849">
        <w:lastRenderedPageBreak/>
        <w:t>ANNEX TO THE LEGISLATIVE RESOLUTION</w:t>
      </w:r>
    </w:p>
    <w:p w14:paraId="64157052" w14:textId="77777777" w:rsidR="0047333D" w:rsidRPr="002C0EEB" w:rsidRDefault="0047333D" w:rsidP="0047333D">
      <w:pPr>
        <w:pStyle w:val="NormalHanging12a"/>
        <w:widowControl/>
        <w:jc w:val="right"/>
        <w:rPr>
          <w:u w:val="single"/>
        </w:rPr>
      </w:pPr>
    </w:p>
    <w:p w14:paraId="6B328DF0" w14:textId="0BE34958" w:rsidR="0047333D" w:rsidRPr="002C0EEB" w:rsidRDefault="0047333D" w:rsidP="002C0EEB">
      <w:pPr>
        <w:spacing w:after="240" w:line="360" w:lineRule="auto"/>
        <w:jc w:val="center"/>
        <w:rPr>
          <w:rFonts w:eastAsia="Aptos"/>
          <w:kern w:val="2"/>
          <w:szCs w:val="24"/>
          <w:lang w:eastAsia="en-US"/>
          <w14:ligatures w14:val="standardContextual"/>
        </w:rPr>
      </w:pPr>
      <w:r w:rsidRPr="002C0EEB">
        <w:rPr>
          <w:rFonts w:eastAsia="Aptos"/>
          <w:kern w:val="2"/>
          <w:szCs w:val="24"/>
          <w:lang w:eastAsia="en-US"/>
          <w14:ligatures w14:val="standardContextual"/>
        </w:rPr>
        <w:t>Statement by the Commission on the occasion of the adoption of Regulation (EU) 2026/</w:t>
      </w:r>
      <w:r w:rsidR="002A6849">
        <w:rPr>
          <w:rFonts w:eastAsia="Aptos"/>
          <w:kern w:val="2"/>
          <w:szCs w:val="24"/>
          <w:lang w:eastAsia="en-US"/>
          <w14:ligatures w14:val="standardContextual"/>
        </w:rPr>
        <w:t>471</w:t>
      </w:r>
      <w:r w:rsidRPr="002C0EEB">
        <w:rPr>
          <w:rFonts w:eastAsia="Aptos"/>
          <w:kern w:val="2"/>
          <w:szCs w:val="24"/>
          <w:lang w:eastAsia="en-US"/>
          <w14:ligatures w14:val="standardContextual"/>
        </w:rPr>
        <w:t xml:space="preserve"> of the European Parliament and of the Council of </w:t>
      </w:r>
      <w:r w:rsidR="002A6849">
        <w:rPr>
          <w:rFonts w:eastAsia="Aptos"/>
          <w:kern w:val="2"/>
          <w:szCs w:val="24"/>
          <w:lang w:eastAsia="en-US"/>
          <w14:ligatures w14:val="standardContextual"/>
        </w:rPr>
        <w:t>24 February</w:t>
      </w:r>
      <w:r w:rsidRPr="002C0EEB">
        <w:rPr>
          <w:rFonts w:eastAsia="Aptos"/>
          <w:kern w:val="2"/>
          <w:szCs w:val="24"/>
          <w:lang w:eastAsia="en-US"/>
          <w14:ligatures w14:val="standardContextual"/>
        </w:rPr>
        <w:t xml:space="preserve"> </w:t>
      </w:r>
      <w:r w:rsidRPr="002A6849">
        <w:rPr>
          <w:rFonts w:eastAsia="Aptos"/>
          <w:kern w:val="2"/>
          <w:szCs w:val="24"/>
          <w:lang w:eastAsia="en-US"/>
          <w14:ligatures w14:val="standardContextual"/>
        </w:rPr>
        <w:t>2026</w:t>
      </w:r>
      <w:r w:rsidR="002A6849" w:rsidRPr="002A6849">
        <w:rPr>
          <w:rStyle w:val="FootnoteReference"/>
          <w:rFonts w:eastAsia="Aptos"/>
          <w:kern w:val="2"/>
          <w:szCs w:val="24"/>
          <w:lang w:eastAsia="en-US"/>
          <w14:ligatures w14:val="standardContextual"/>
        </w:rPr>
        <w:footnoteReference w:id="3"/>
      </w:r>
      <w:r w:rsidRPr="002A6849">
        <w:rPr>
          <w:rFonts w:eastAsia="Aptos"/>
          <w:kern w:val="2"/>
          <w:szCs w:val="24"/>
          <w:lang w:eastAsia="en-US"/>
          <w14:ligatures w14:val="standardContextual"/>
        </w:rPr>
        <w:t xml:space="preserve"> a</w:t>
      </w:r>
      <w:r w:rsidRPr="002C0EEB">
        <w:rPr>
          <w:rFonts w:eastAsia="Aptos"/>
          <w:kern w:val="2"/>
          <w:szCs w:val="24"/>
          <w:lang w:eastAsia="en-US"/>
          <w14:ligatures w14:val="standardContextual"/>
        </w:rPr>
        <w:t>mending Regulations (EU) No 1308/2013, (EU) No 251/2014 and (EU) 2021/2115 as regards certain market rules and sectoral support measures in the wine sector and for aromatised wine products and Regulation (EU) 2024/1143 as regards certain labelling rules for spirit drinks</w:t>
      </w:r>
    </w:p>
    <w:p w14:paraId="0D7C18CA" w14:textId="77777777" w:rsidR="0047333D" w:rsidRPr="002C0EEB" w:rsidRDefault="0047333D" w:rsidP="0047333D">
      <w:pPr>
        <w:widowControl/>
        <w:spacing w:after="240" w:line="360" w:lineRule="auto"/>
        <w:rPr>
          <w:rFonts w:eastAsia="Aptos"/>
          <w:kern w:val="2"/>
          <w:szCs w:val="24"/>
          <w:lang w:eastAsia="en-US"/>
          <w14:ligatures w14:val="standardContextual"/>
        </w:rPr>
      </w:pPr>
      <w:r w:rsidRPr="002C0EEB">
        <w:rPr>
          <w:rFonts w:eastAsia="Aptos"/>
          <w:kern w:val="2"/>
          <w:szCs w:val="24"/>
          <w:lang w:eastAsia="en-US"/>
          <w14:ligatures w14:val="standardContextual"/>
        </w:rPr>
        <w:t>The Commission will use its best endeavours</w:t>
      </w:r>
      <w:r w:rsidRPr="002C0EEB">
        <w:rPr>
          <w:rFonts w:eastAsia="Aptos"/>
          <w:b/>
          <w:bCs/>
          <w:kern w:val="2"/>
          <w:szCs w:val="24"/>
          <w:lang w:eastAsia="en-US"/>
          <w14:ligatures w14:val="standardContextual"/>
        </w:rPr>
        <w:t xml:space="preserve"> </w:t>
      </w:r>
      <w:r w:rsidRPr="002C0EEB">
        <w:rPr>
          <w:rFonts w:eastAsia="Aptos"/>
          <w:kern w:val="2"/>
          <w:szCs w:val="24"/>
          <w:lang w:eastAsia="en-US"/>
          <w14:ligatures w14:val="standardContextual"/>
        </w:rPr>
        <w:t xml:space="preserve">to present in the year 2026 to the relevant expert group or committee: </w:t>
      </w:r>
    </w:p>
    <w:p w14:paraId="6CCFC6BC" w14:textId="77777777" w:rsidR="0047333D" w:rsidRPr="002C0EEB" w:rsidRDefault="0047333D" w:rsidP="00A03241">
      <w:pPr>
        <w:widowControl/>
        <w:spacing w:after="160" w:line="360" w:lineRule="auto"/>
        <w:ind w:left="567" w:hanging="567"/>
        <w:rPr>
          <w:rFonts w:eastAsia="Aptos"/>
          <w:kern w:val="2"/>
          <w:szCs w:val="24"/>
          <w:lang w:eastAsia="en-US"/>
          <w14:ligatures w14:val="standardContextual"/>
        </w:rPr>
      </w:pPr>
      <w:r w:rsidRPr="002C0EEB">
        <w:rPr>
          <w:rFonts w:eastAsia="Aptos"/>
          <w:kern w:val="2"/>
          <w:szCs w:val="24"/>
          <w:lang w:eastAsia="en-US"/>
          <w14:ligatures w14:val="standardContextual"/>
        </w:rPr>
        <w:t>1)</w:t>
      </w:r>
      <w:r w:rsidRPr="002C0EEB">
        <w:rPr>
          <w:rFonts w:eastAsia="Aptos"/>
          <w:kern w:val="2"/>
          <w:szCs w:val="24"/>
          <w:lang w:eastAsia="en-US"/>
          <w14:ligatures w14:val="standardContextual"/>
        </w:rPr>
        <w:tab/>
        <w:t xml:space="preserve">a draft implementing act amending Regulation (EU) 2018/274 related to the possibility to extend the application of the </w:t>
      </w:r>
      <w:r w:rsidRPr="002C0EEB">
        <w:rPr>
          <w:rFonts w:eastAsia="Aptos"/>
          <w:b/>
          <w:bCs/>
          <w:kern w:val="2"/>
          <w:szCs w:val="24"/>
          <w:lang w:eastAsia="en-US"/>
          <w14:ligatures w14:val="standardContextual"/>
        </w:rPr>
        <w:t>simplified procedure for granting replanting authorisations</w:t>
      </w:r>
      <w:r w:rsidRPr="002C0EEB">
        <w:rPr>
          <w:rFonts w:eastAsia="Aptos"/>
          <w:kern w:val="2"/>
          <w:szCs w:val="24"/>
          <w:lang w:eastAsia="en-US"/>
          <w14:ligatures w14:val="standardContextual"/>
        </w:rPr>
        <w:t xml:space="preserve"> laid down in Article 9 of that Regulation.</w:t>
      </w:r>
    </w:p>
    <w:p w14:paraId="7A0813D4" w14:textId="300D3E0E" w:rsidR="0047333D" w:rsidRPr="002C0EEB" w:rsidRDefault="0047333D" w:rsidP="002C0EEB">
      <w:pPr>
        <w:widowControl/>
        <w:spacing w:after="160" w:line="360" w:lineRule="auto"/>
        <w:ind w:left="567" w:hanging="567"/>
        <w:rPr>
          <w:rFonts w:eastAsia="Aptos"/>
          <w:kern w:val="2"/>
          <w:szCs w:val="24"/>
          <w:lang w:eastAsia="en-US"/>
          <w14:ligatures w14:val="standardContextual"/>
        </w:rPr>
      </w:pPr>
      <w:r w:rsidRPr="002C0EEB">
        <w:rPr>
          <w:rFonts w:eastAsia="Aptos"/>
          <w:kern w:val="2"/>
          <w:szCs w:val="24"/>
          <w:lang w:eastAsia="en-US"/>
          <w14:ligatures w14:val="standardContextual"/>
        </w:rPr>
        <w:t>2)</w:t>
      </w:r>
      <w:r w:rsidRPr="002C0EEB">
        <w:rPr>
          <w:rFonts w:eastAsia="Aptos"/>
          <w:kern w:val="2"/>
          <w:szCs w:val="24"/>
          <w:lang w:eastAsia="en-US"/>
          <w14:ligatures w14:val="standardContextual"/>
        </w:rPr>
        <w:tab/>
        <w:t xml:space="preserve">a draft amendment to Commission Delegated Regulation (EU) 2019/33, to define the Union system for identification on the package or the label of grapevine products </w:t>
      </w:r>
      <w:r w:rsidRPr="002C0EEB">
        <w:rPr>
          <w:rFonts w:eastAsia="Aptos"/>
          <w:b/>
          <w:bCs/>
          <w:kern w:val="2"/>
          <w:szCs w:val="24"/>
          <w:lang w:eastAsia="en-US"/>
          <w14:ligatures w14:val="standardContextual"/>
        </w:rPr>
        <w:t xml:space="preserve">of the electronic means </w:t>
      </w:r>
      <w:r w:rsidRPr="002C0EEB">
        <w:rPr>
          <w:rFonts w:eastAsia="Aptos"/>
          <w:kern w:val="2"/>
          <w:szCs w:val="24"/>
          <w:lang w:eastAsia="en-US"/>
          <w14:ligatures w14:val="standardContextual"/>
        </w:rPr>
        <w:t xml:space="preserve">referred to in Article 119(4) and (5) of Regulation (EU) </w:t>
      </w:r>
      <w:r w:rsidR="00A95C35">
        <w:rPr>
          <w:rFonts w:eastAsia="Aptos"/>
          <w:kern w:val="2"/>
          <w:szCs w:val="24"/>
          <w:lang w:eastAsia="en-US"/>
          <w14:ligatures w14:val="standardContextual"/>
        </w:rPr>
        <w:t xml:space="preserve">No </w:t>
      </w:r>
      <w:r w:rsidRPr="002C0EEB">
        <w:rPr>
          <w:rFonts w:eastAsia="Aptos"/>
          <w:kern w:val="2"/>
          <w:szCs w:val="24"/>
          <w:lang w:eastAsia="en-US"/>
          <w14:ligatures w14:val="standardContextual"/>
        </w:rPr>
        <w:t>1308/2013.</w:t>
      </w:r>
    </w:p>
    <w:p w14:paraId="22ED9DD5" w14:textId="77777777" w:rsidR="0047333D" w:rsidRPr="002C0EEB" w:rsidRDefault="0047333D" w:rsidP="00A03241">
      <w:pPr>
        <w:widowControl/>
        <w:spacing w:after="160" w:line="360" w:lineRule="auto"/>
        <w:ind w:left="567" w:hanging="567"/>
        <w:rPr>
          <w:rFonts w:eastAsia="Aptos"/>
          <w:kern w:val="2"/>
          <w:szCs w:val="24"/>
          <w:lang w:eastAsia="en-US"/>
          <w14:ligatures w14:val="standardContextual"/>
        </w:rPr>
      </w:pPr>
      <w:r w:rsidRPr="002C0EEB">
        <w:rPr>
          <w:rFonts w:eastAsia="Aptos"/>
          <w:kern w:val="2"/>
          <w:szCs w:val="24"/>
          <w:lang w:eastAsia="en-US"/>
          <w14:ligatures w14:val="standardContextual"/>
        </w:rPr>
        <w:t>3)</w:t>
      </w:r>
      <w:r w:rsidRPr="002C0EEB">
        <w:rPr>
          <w:rFonts w:eastAsia="Aptos"/>
          <w:kern w:val="2"/>
          <w:szCs w:val="24"/>
          <w:lang w:eastAsia="en-US"/>
          <w14:ligatures w14:val="standardContextual"/>
        </w:rPr>
        <w:tab/>
        <w:t xml:space="preserve">a draft amendment to Commission Delegated Regulation (EU) 2019/934 to include, in the </w:t>
      </w:r>
      <w:r w:rsidRPr="002C0EEB">
        <w:rPr>
          <w:rFonts w:eastAsia="Aptos"/>
          <w:b/>
          <w:bCs/>
          <w:kern w:val="2"/>
          <w:szCs w:val="24"/>
          <w:lang w:eastAsia="en-US"/>
          <w14:ligatures w14:val="standardContextual"/>
        </w:rPr>
        <w:t>definition of “</w:t>
      </w:r>
      <w:proofErr w:type="spellStart"/>
      <w:r w:rsidRPr="002C0EEB">
        <w:rPr>
          <w:rFonts w:eastAsia="Aptos"/>
          <w:b/>
          <w:bCs/>
          <w:kern w:val="2"/>
          <w:szCs w:val="24"/>
          <w:lang w:eastAsia="en-US"/>
          <w14:ligatures w14:val="standardContextual"/>
        </w:rPr>
        <w:t>coupage</w:t>
      </w:r>
      <w:proofErr w:type="spellEnd"/>
      <w:r w:rsidRPr="002C0EEB">
        <w:rPr>
          <w:rFonts w:eastAsia="Aptos"/>
          <w:b/>
          <w:bCs/>
          <w:kern w:val="2"/>
          <w:szCs w:val="24"/>
          <w:lang w:eastAsia="en-US"/>
          <w14:ligatures w14:val="standardContextual"/>
        </w:rPr>
        <w:t>”</w:t>
      </w:r>
      <w:r w:rsidRPr="002C0EEB">
        <w:rPr>
          <w:rFonts w:eastAsia="Aptos"/>
          <w:kern w:val="2"/>
          <w:szCs w:val="24"/>
          <w:lang w:eastAsia="en-US"/>
          <w14:ligatures w14:val="standardContextual"/>
        </w:rPr>
        <w:t xml:space="preserve"> (‘blending’) the possibility to blend de-alcoholised or partially de-alcoholised wines with still wines to produce partially de-alcoholised wines.</w:t>
      </w:r>
    </w:p>
    <w:p w14:paraId="10CCCAED" w14:textId="0033F928" w:rsidR="0047333D" w:rsidRPr="0047333D" w:rsidRDefault="0047333D" w:rsidP="00A03241">
      <w:pPr>
        <w:pStyle w:val="NormalHanging12a"/>
        <w:widowControl/>
        <w:spacing w:line="360" w:lineRule="auto"/>
      </w:pPr>
      <w:r w:rsidRPr="002C0EEB">
        <w:rPr>
          <w:rFonts w:eastAsia="Aptos"/>
          <w:kern w:val="2"/>
          <w:szCs w:val="24"/>
          <w:lang w:eastAsia="en-US"/>
          <w14:ligatures w14:val="standardContextual"/>
        </w:rPr>
        <w:t>4)</w:t>
      </w:r>
      <w:r w:rsidRPr="002C0EEB">
        <w:rPr>
          <w:rFonts w:eastAsia="Aptos"/>
          <w:kern w:val="2"/>
          <w:szCs w:val="24"/>
          <w:lang w:eastAsia="en-US"/>
          <w14:ligatures w14:val="standardContextual"/>
        </w:rPr>
        <w:tab/>
        <w:t xml:space="preserve">a draft delegated act laying down the conditions for the </w:t>
      </w:r>
      <w:r w:rsidRPr="002C0EEB">
        <w:rPr>
          <w:rFonts w:eastAsia="Aptos"/>
          <w:b/>
          <w:bCs/>
          <w:kern w:val="2"/>
          <w:szCs w:val="24"/>
          <w:lang w:eastAsia="en-US"/>
          <w14:ligatures w14:val="standardContextual"/>
        </w:rPr>
        <w:t>grubbing up of abandoned vineyards</w:t>
      </w:r>
      <w:r w:rsidRPr="002C0EEB">
        <w:rPr>
          <w:rFonts w:eastAsia="Aptos"/>
          <w:kern w:val="2"/>
          <w:szCs w:val="24"/>
          <w:lang w:eastAsia="en-US"/>
          <w14:ligatures w14:val="standardContextual"/>
        </w:rPr>
        <w:t xml:space="preserve"> referred to in new Article 62(6) of Regulation (EU) </w:t>
      </w:r>
      <w:r w:rsidR="00A95C35">
        <w:rPr>
          <w:rFonts w:eastAsia="Aptos"/>
          <w:kern w:val="2"/>
          <w:szCs w:val="24"/>
          <w:lang w:eastAsia="en-US"/>
          <w14:ligatures w14:val="standardContextual"/>
        </w:rPr>
        <w:t xml:space="preserve">No </w:t>
      </w:r>
      <w:r w:rsidRPr="002C0EEB">
        <w:rPr>
          <w:rFonts w:eastAsia="Aptos"/>
          <w:kern w:val="2"/>
          <w:szCs w:val="24"/>
          <w:lang w:eastAsia="en-US"/>
          <w14:ligatures w14:val="standardContextual"/>
        </w:rPr>
        <w:t>1308/2013.</w:t>
      </w:r>
    </w:p>
    <w:p w14:paraId="1B9191B5" w14:textId="77777777" w:rsidR="0047333D" w:rsidRDefault="0047333D" w:rsidP="0047333D"/>
    <w:p w14:paraId="67ECB297" w14:textId="77777777" w:rsidR="0047333D" w:rsidRDefault="0047333D" w:rsidP="002C0EEB">
      <w:pPr>
        <w:pStyle w:val="NormalHanging12a"/>
        <w:widowControl/>
        <w:rPr>
          <w:u w:val="single"/>
        </w:rPr>
      </w:pPr>
    </w:p>
    <w:sectPr w:rsidR="0047333D" w:rsidSect="003D067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FA0D" w14:textId="77777777" w:rsidR="00A06748" w:rsidRPr="003D0678" w:rsidRDefault="00A06748">
      <w:r w:rsidRPr="003D0678">
        <w:separator/>
      </w:r>
    </w:p>
  </w:endnote>
  <w:endnote w:type="continuationSeparator" w:id="0">
    <w:p w14:paraId="419C37FF" w14:textId="77777777" w:rsidR="00A06748" w:rsidRPr="003D0678" w:rsidRDefault="00A06748">
      <w:r w:rsidRPr="003D06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230C" w14:textId="77777777" w:rsidR="00064002" w:rsidRPr="003D067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52BE" w14:textId="77777777" w:rsidR="00064002" w:rsidRPr="003D067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9B66" w14:textId="77777777" w:rsidR="00064002" w:rsidRPr="003D067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2F24" w14:textId="77777777" w:rsidR="00A06748" w:rsidRPr="003D0678" w:rsidRDefault="00A06748">
      <w:r w:rsidRPr="003D0678">
        <w:separator/>
      </w:r>
    </w:p>
  </w:footnote>
  <w:footnote w:type="continuationSeparator" w:id="0">
    <w:p w14:paraId="1741EB12" w14:textId="77777777" w:rsidR="00A06748" w:rsidRPr="003D0678" w:rsidRDefault="00A06748">
      <w:r w:rsidRPr="003D0678">
        <w:continuationSeparator/>
      </w:r>
    </w:p>
  </w:footnote>
  <w:footnote w:id="1">
    <w:p w14:paraId="378F3A08" w14:textId="16FED295" w:rsidR="00363A46" w:rsidRPr="002C0EEB" w:rsidRDefault="00363A46" w:rsidP="002F4D8D">
      <w:pPr>
        <w:pStyle w:val="FootnoteText"/>
        <w:keepLines w:val="0"/>
        <w:ind w:left="567" w:hanging="567"/>
        <w:rPr>
          <w:sz w:val="24"/>
          <w:szCs w:val="24"/>
          <w:lang w:val="fi-FI"/>
        </w:rPr>
      </w:pPr>
      <w:r w:rsidRPr="002C0EEB">
        <w:rPr>
          <w:rStyle w:val="FootnoteReference"/>
          <w:sz w:val="24"/>
          <w:szCs w:val="24"/>
          <w:lang w:val="en-GB"/>
        </w:rPr>
        <w:footnoteRef/>
      </w:r>
      <w:r w:rsidR="003D0678" w:rsidRPr="002C0EEB">
        <w:rPr>
          <w:sz w:val="24"/>
          <w:lang w:val="fi-FI"/>
        </w:rPr>
        <w:t xml:space="preserve"> </w:t>
      </w:r>
      <w:r w:rsidR="003D0678" w:rsidRPr="002C0EEB">
        <w:rPr>
          <w:sz w:val="24"/>
          <w:lang w:val="fi-FI"/>
        </w:rPr>
        <w:tab/>
      </w:r>
      <w:r w:rsidRPr="002C0EEB">
        <w:rPr>
          <w:sz w:val="24"/>
          <w:lang w:val="fi-FI"/>
        </w:rPr>
        <w:t>OJ C, C/202</w:t>
      </w:r>
      <w:r w:rsidR="00143098" w:rsidRPr="002C0EEB">
        <w:rPr>
          <w:sz w:val="24"/>
          <w:lang w:val="fi-FI"/>
        </w:rPr>
        <w:t>5</w:t>
      </w:r>
      <w:r w:rsidRPr="002C0EEB">
        <w:rPr>
          <w:sz w:val="24"/>
          <w:lang w:val="fi-FI"/>
        </w:rPr>
        <w:t>/</w:t>
      </w:r>
      <w:r w:rsidR="00143098" w:rsidRPr="002C0EEB">
        <w:rPr>
          <w:sz w:val="24"/>
          <w:lang w:val="fi-FI"/>
        </w:rPr>
        <w:t>5161</w:t>
      </w:r>
      <w:r w:rsidRPr="002C0EEB">
        <w:rPr>
          <w:sz w:val="24"/>
          <w:lang w:val="fi-FI"/>
        </w:rPr>
        <w:t xml:space="preserve">, </w:t>
      </w:r>
      <w:r w:rsidR="00143098" w:rsidRPr="002C0EEB">
        <w:rPr>
          <w:sz w:val="24"/>
          <w:lang w:val="fi-FI"/>
        </w:rPr>
        <w:t>28.10.2025</w:t>
      </w:r>
      <w:r w:rsidRPr="002C0EEB">
        <w:rPr>
          <w:sz w:val="24"/>
          <w:lang w:val="fi-FI"/>
        </w:rPr>
        <w:t xml:space="preserve">, ELI: </w:t>
      </w:r>
      <w:hyperlink r:id="rId1" w:history="1">
        <w:r w:rsidRPr="00A03241">
          <w:rPr>
            <w:rStyle w:val="Hyperlink"/>
            <w:sz w:val="24"/>
            <w:lang w:val="fi-FI"/>
          </w:rPr>
          <w:t>http://data.europa.eu/eli/C/202</w:t>
        </w:r>
        <w:r w:rsidR="00143098" w:rsidRPr="00A03241">
          <w:rPr>
            <w:rStyle w:val="Hyperlink"/>
            <w:sz w:val="24"/>
            <w:lang w:val="fi-FI"/>
          </w:rPr>
          <w:t>5</w:t>
        </w:r>
        <w:r w:rsidRPr="00A03241">
          <w:rPr>
            <w:rStyle w:val="Hyperlink"/>
            <w:sz w:val="24"/>
            <w:lang w:val="fi-FI"/>
          </w:rPr>
          <w:t>/</w:t>
        </w:r>
        <w:r w:rsidR="00143098" w:rsidRPr="00A03241">
          <w:rPr>
            <w:rStyle w:val="Hyperlink"/>
            <w:sz w:val="24"/>
            <w:lang w:val="fi-FI"/>
          </w:rPr>
          <w:t>5161</w:t>
        </w:r>
        <w:r w:rsidRPr="00A03241">
          <w:rPr>
            <w:rStyle w:val="Hyperlink"/>
            <w:sz w:val="24"/>
            <w:lang w:val="fi-FI"/>
          </w:rPr>
          <w:t>/oj</w:t>
        </w:r>
      </w:hyperlink>
      <w:r w:rsidRPr="002C0EEB">
        <w:rPr>
          <w:sz w:val="24"/>
          <w:lang w:val="fi-FI"/>
        </w:rPr>
        <w:t>.</w:t>
      </w:r>
    </w:p>
  </w:footnote>
  <w:footnote w:id="2">
    <w:p w14:paraId="0CB20C8B" w14:textId="5BDD1B58" w:rsidR="00363A46" w:rsidRPr="002C0EEB" w:rsidRDefault="00363A46" w:rsidP="002F4D8D">
      <w:pPr>
        <w:pStyle w:val="FootnoteText"/>
        <w:keepLines w:val="0"/>
        <w:ind w:left="567" w:hanging="567"/>
        <w:rPr>
          <w:sz w:val="24"/>
          <w:szCs w:val="24"/>
          <w:lang w:val="fi-FI"/>
        </w:rPr>
      </w:pPr>
      <w:r w:rsidRPr="002C0EEB">
        <w:rPr>
          <w:rStyle w:val="FootnoteReference"/>
          <w:sz w:val="24"/>
          <w:szCs w:val="24"/>
          <w:lang w:val="en-GB"/>
        </w:rPr>
        <w:footnoteRef/>
      </w:r>
      <w:r w:rsidR="003D0678" w:rsidRPr="002C0EEB">
        <w:rPr>
          <w:sz w:val="24"/>
          <w:lang w:val="fi-FI"/>
        </w:rPr>
        <w:t xml:space="preserve"> </w:t>
      </w:r>
      <w:r w:rsidR="003D0678" w:rsidRPr="002C0EEB">
        <w:rPr>
          <w:sz w:val="24"/>
          <w:lang w:val="fi-FI"/>
        </w:rPr>
        <w:tab/>
      </w:r>
      <w:r w:rsidRPr="002C0EEB">
        <w:rPr>
          <w:sz w:val="24"/>
          <w:lang w:val="fi-FI"/>
        </w:rPr>
        <w:t>OJ C, C/202</w:t>
      </w:r>
      <w:r w:rsidR="00F751C8" w:rsidRPr="002C0EEB">
        <w:rPr>
          <w:sz w:val="24"/>
          <w:lang w:val="fi-FI"/>
        </w:rPr>
        <w:t>5</w:t>
      </w:r>
      <w:r w:rsidRPr="002C0EEB">
        <w:rPr>
          <w:sz w:val="24"/>
          <w:lang w:val="fi-FI"/>
        </w:rPr>
        <w:t>/</w:t>
      </w:r>
      <w:r w:rsidR="00F751C8" w:rsidRPr="002C0EEB">
        <w:rPr>
          <w:sz w:val="24"/>
          <w:lang w:val="fi-FI"/>
        </w:rPr>
        <w:t>4418</w:t>
      </w:r>
      <w:r w:rsidRPr="002C0EEB">
        <w:rPr>
          <w:sz w:val="24"/>
          <w:lang w:val="fi-FI"/>
        </w:rPr>
        <w:t xml:space="preserve">, </w:t>
      </w:r>
      <w:r w:rsidR="00F751C8" w:rsidRPr="002C0EEB">
        <w:rPr>
          <w:sz w:val="24"/>
          <w:lang w:val="fi-FI"/>
        </w:rPr>
        <w:t>29.8.2025</w:t>
      </w:r>
      <w:r w:rsidRPr="002C0EEB">
        <w:rPr>
          <w:sz w:val="24"/>
          <w:lang w:val="fi-FI"/>
        </w:rPr>
        <w:t xml:space="preserve">, ELI: </w:t>
      </w:r>
      <w:hyperlink r:id="rId2" w:history="1">
        <w:r w:rsidRPr="00A03241">
          <w:rPr>
            <w:rStyle w:val="Hyperlink"/>
            <w:sz w:val="24"/>
            <w:lang w:val="fi-FI"/>
          </w:rPr>
          <w:t>http://data.europa.eu/eli/C/202</w:t>
        </w:r>
        <w:r w:rsidR="00F751C8" w:rsidRPr="00A03241">
          <w:rPr>
            <w:rStyle w:val="Hyperlink"/>
            <w:sz w:val="24"/>
            <w:lang w:val="fi-FI"/>
          </w:rPr>
          <w:t>5</w:t>
        </w:r>
        <w:r w:rsidRPr="00A03241">
          <w:rPr>
            <w:rStyle w:val="Hyperlink"/>
            <w:sz w:val="24"/>
            <w:lang w:val="fi-FI"/>
          </w:rPr>
          <w:t>/</w:t>
        </w:r>
        <w:r w:rsidR="00F751C8" w:rsidRPr="00A03241">
          <w:rPr>
            <w:rStyle w:val="Hyperlink"/>
            <w:sz w:val="24"/>
            <w:lang w:val="fi-FI"/>
          </w:rPr>
          <w:t>4418</w:t>
        </w:r>
        <w:r w:rsidRPr="00A03241">
          <w:rPr>
            <w:rStyle w:val="Hyperlink"/>
            <w:sz w:val="24"/>
            <w:lang w:val="fi-FI"/>
          </w:rPr>
          <w:t>/oj</w:t>
        </w:r>
      </w:hyperlink>
      <w:r w:rsidRPr="002C0EEB">
        <w:rPr>
          <w:sz w:val="24"/>
          <w:lang w:val="fi-FI"/>
        </w:rPr>
        <w:t>.</w:t>
      </w:r>
    </w:p>
  </w:footnote>
  <w:footnote w:id="3">
    <w:p w14:paraId="23F3FEE6" w14:textId="77777777" w:rsidR="002A6849" w:rsidRPr="00DF2A5E" w:rsidRDefault="002A6849" w:rsidP="002A6849">
      <w:pPr>
        <w:pStyle w:val="FootnoteText"/>
        <w:ind w:left="709" w:hanging="709"/>
        <w:rPr>
          <w:sz w:val="24"/>
          <w:szCs w:val="24"/>
          <w:lang w:val="sk-SK"/>
        </w:rPr>
      </w:pPr>
      <w:r w:rsidRPr="002A6849">
        <w:rPr>
          <w:rStyle w:val="FootnoteReference"/>
          <w:sz w:val="24"/>
          <w:szCs w:val="24"/>
        </w:rPr>
        <w:footnoteRef/>
      </w:r>
      <w:r w:rsidRPr="002A6849">
        <w:rPr>
          <w:sz w:val="24"/>
          <w:szCs w:val="24"/>
          <w:lang w:val="fi-FI"/>
        </w:rPr>
        <w:t xml:space="preserve"> </w:t>
      </w:r>
      <w:r w:rsidRPr="002A6849">
        <w:rPr>
          <w:sz w:val="24"/>
          <w:szCs w:val="24"/>
          <w:lang w:val="sk-SK"/>
        </w:rPr>
        <w:tab/>
      </w:r>
      <w:r w:rsidRPr="002A6849">
        <w:rPr>
          <w:sz w:val="24"/>
          <w:szCs w:val="24"/>
          <w:lang w:val="sk-SK"/>
        </w:rPr>
        <w:t xml:space="preserve">OJ L, 2026/471, 26.2.2026, ELI: </w:t>
      </w:r>
      <w:hyperlink r:id="rId3" w:history="1">
        <w:r w:rsidRPr="002A6849">
          <w:rPr>
            <w:rStyle w:val="Hyperlink"/>
            <w:sz w:val="24"/>
            <w:szCs w:val="24"/>
            <w:lang w:val="sk-SK"/>
          </w:rPr>
          <w:t>http://data.e</w:t>
        </w:r>
        <w:r w:rsidRPr="002A6849">
          <w:rPr>
            <w:rStyle w:val="Hyperlink"/>
            <w:sz w:val="24"/>
            <w:szCs w:val="24"/>
            <w:lang w:val="sk-SK"/>
          </w:rPr>
          <w:t>u</w:t>
        </w:r>
        <w:r w:rsidRPr="002A6849">
          <w:rPr>
            <w:rStyle w:val="Hyperlink"/>
            <w:sz w:val="24"/>
            <w:szCs w:val="24"/>
            <w:lang w:val="sk-SK"/>
          </w:rPr>
          <w:t>ropa.eu/eli/reg/2026/471/oj</w:t>
        </w:r>
      </w:hyperlink>
      <w:r w:rsidRPr="002A6849">
        <w:rPr>
          <w:sz w:val="24"/>
          <w:szCs w:val="24"/>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E219" w14:textId="77777777" w:rsidR="00064002" w:rsidRPr="003D067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3906" w14:textId="77777777" w:rsidR="00064002" w:rsidRPr="003D067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829B" w14:textId="77777777" w:rsidR="00064002" w:rsidRPr="003D067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26855424">
    <w:abstractNumId w:val="9"/>
  </w:num>
  <w:num w:numId="2" w16cid:durableId="753820865">
    <w:abstractNumId w:val="9"/>
  </w:num>
  <w:num w:numId="3" w16cid:durableId="741297601">
    <w:abstractNumId w:val="7"/>
  </w:num>
  <w:num w:numId="4" w16cid:durableId="408623884">
    <w:abstractNumId w:val="7"/>
  </w:num>
  <w:num w:numId="5" w16cid:durableId="1479221571">
    <w:abstractNumId w:val="6"/>
  </w:num>
  <w:num w:numId="6" w16cid:durableId="975797784">
    <w:abstractNumId w:val="6"/>
  </w:num>
  <w:num w:numId="7" w16cid:durableId="1936857848">
    <w:abstractNumId w:val="5"/>
  </w:num>
  <w:num w:numId="8" w16cid:durableId="1659457139">
    <w:abstractNumId w:val="5"/>
  </w:num>
  <w:num w:numId="9" w16cid:durableId="113136943">
    <w:abstractNumId w:val="4"/>
  </w:num>
  <w:num w:numId="10" w16cid:durableId="2142115823">
    <w:abstractNumId w:val="4"/>
  </w:num>
  <w:num w:numId="11" w16cid:durableId="71512999">
    <w:abstractNumId w:val="8"/>
  </w:num>
  <w:num w:numId="12" w16cid:durableId="1840078380">
    <w:abstractNumId w:val="8"/>
  </w:num>
  <w:num w:numId="13" w16cid:durableId="144394987">
    <w:abstractNumId w:val="3"/>
  </w:num>
  <w:num w:numId="14" w16cid:durableId="2013219722">
    <w:abstractNumId w:val="3"/>
  </w:num>
  <w:num w:numId="15" w16cid:durableId="1708216792">
    <w:abstractNumId w:val="2"/>
  </w:num>
  <w:num w:numId="16" w16cid:durableId="1358652329">
    <w:abstractNumId w:val="2"/>
  </w:num>
  <w:num w:numId="17" w16cid:durableId="2137526006">
    <w:abstractNumId w:val="1"/>
  </w:num>
  <w:num w:numId="18" w16cid:durableId="123885624">
    <w:abstractNumId w:val="1"/>
  </w:num>
  <w:num w:numId="19" w16cid:durableId="1933509639">
    <w:abstractNumId w:val="0"/>
  </w:num>
  <w:num w:numId="20" w16cid:durableId="1643080631">
    <w:abstractNumId w:val="0"/>
  </w:num>
  <w:num w:numId="21" w16cid:durableId="901870771">
    <w:abstractNumId w:val="9"/>
  </w:num>
  <w:num w:numId="22" w16cid:durableId="1554317967">
    <w:abstractNumId w:val="7"/>
  </w:num>
  <w:num w:numId="23" w16cid:durableId="299192169">
    <w:abstractNumId w:val="6"/>
  </w:num>
  <w:num w:numId="24" w16cid:durableId="493187595">
    <w:abstractNumId w:val="5"/>
  </w:num>
  <w:num w:numId="25" w16cid:durableId="879785702">
    <w:abstractNumId w:val="4"/>
  </w:num>
  <w:num w:numId="26" w16cid:durableId="543907154">
    <w:abstractNumId w:val="8"/>
  </w:num>
  <w:num w:numId="27" w16cid:durableId="609554560">
    <w:abstractNumId w:val="3"/>
  </w:num>
  <w:num w:numId="28" w16cid:durableId="736130985">
    <w:abstractNumId w:val="2"/>
  </w:num>
  <w:num w:numId="29" w16cid:durableId="470249163">
    <w:abstractNumId w:val="1"/>
  </w:num>
  <w:num w:numId="30" w16cid:durableId="1898978819">
    <w:abstractNumId w:val="0"/>
  </w:num>
  <w:num w:numId="31" w16cid:durableId="201864048">
    <w:abstractNumId w:val="9"/>
  </w:num>
  <w:num w:numId="32" w16cid:durableId="465049057">
    <w:abstractNumId w:val="7"/>
  </w:num>
  <w:num w:numId="33" w16cid:durableId="1538928652">
    <w:abstractNumId w:val="6"/>
  </w:num>
  <w:num w:numId="34" w16cid:durableId="316156269">
    <w:abstractNumId w:val="5"/>
  </w:num>
  <w:num w:numId="35" w16cid:durableId="799033199">
    <w:abstractNumId w:val="4"/>
  </w:num>
  <w:num w:numId="36" w16cid:durableId="902369993">
    <w:abstractNumId w:val="8"/>
  </w:num>
  <w:num w:numId="37" w16cid:durableId="1815639019">
    <w:abstractNumId w:val="3"/>
  </w:num>
  <w:num w:numId="38" w16cid:durableId="1174956377">
    <w:abstractNumId w:val="2"/>
  </w:num>
  <w:num w:numId="39" w16cid:durableId="1332103801">
    <w:abstractNumId w:val="1"/>
  </w:num>
  <w:num w:numId="40" w16cid:durableId="937520897">
    <w:abstractNumId w:val="0"/>
  </w:num>
  <w:num w:numId="41" w16cid:durableId="394816636">
    <w:abstractNumId w:val="10"/>
  </w:num>
  <w:num w:numId="42" w16cid:durableId="70156189">
    <w:abstractNumId w:val="10"/>
  </w:num>
  <w:num w:numId="43" w16cid:durableId="2121142149">
    <w:abstractNumId w:val="10"/>
  </w:num>
  <w:num w:numId="44" w16cid:durableId="541137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0/2025"/>
    <w:docVar w:name="dvlangue" w:val="EN"/>
    <w:docVar w:name="dvnumam" w:val="0"/>
    <w:docVar w:name="dvpe" w:val="774.316"/>
    <w:docVar w:name="dvrapporteur" w:val="Rapporteur: "/>
    <w:docVar w:name="dvstar" w:val="***I"/>
    <w:docVar w:name="dvtitre" w:val="European Parliament legislative resolution of xx February 2026 on the proposal for a regulation of the European Parliament and of the Council amending Regulations (EU) No 1308/2013, (EU) 2021/2115 and (EU) No 251/2014 as regards certain market rules and sectoral support measures in the wine sector and for aromatised wine products(COM(2025)0137 – C10-0058/2025 – 2025/0071(COD))"/>
  </w:docVars>
  <w:rsids>
    <w:rsidRoot w:val="00A06748"/>
    <w:rsid w:val="00002272"/>
    <w:rsid w:val="0003531A"/>
    <w:rsid w:val="00061D79"/>
    <w:rsid w:val="00064002"/>
    <w:rsid w:val="000677B9"/>
    <w:rsid w:val="000831BA"/>
    <w:rsid w:val="000A42CC"/>
    <w:rsid w:val="000A59C2"/>
    <w:rsid w:val="000E7DD9"/>
    <w:rsid w:val="0010095E"/>
    <w:rsid w:val="00125B37"/>
    <w:rsid w:val="00143098"/>
    <w:rsid w:val="00187494"/>
    <w:rsid w:val="001F32AE"/>
    <w:rsid w:val="00227C54"/>
    <w:rsid w:val="00251956"/>
    <w:rsid w:val="00266E30"/>
    <w:rsid w:val="002767FF"/>
    <w:rsid w:val="002A6849"/>
    <w:rsid w:val="002B18FE"/>
    <w:rsid w:val="002B5493"/>
    <w:rsid w:val="002C0EEB"/>
    <w:rsid w:val="002F4D8D"/>
    <w:rsid w:val="00343214"/>
    <w:rsid w:val="00361C00"/>
    <w:rsid w:val="00363A46"/>
    <w:rsid w:val="00395FA1"/>
    <w:rsid w:val="003D0678"/>
    <w:rsid w:val="003D5318"/>
    <w:rsid w:val="003E15D4"/>
    <w:rsid w:val="00411CCE"/>
    <w:rsid w:val="0041666E"/>
    <w:rsid w:val="00421060"/>
    <w:rsid w:val="00471C19"/>
    <w:rsid w:val="0047333D"/>
    <w:rsid w:val="0048203E"/>
    <w:rsid w:val="004867E3"/>
    <w:rsid w:val="00494A28"/>
    <w:rsid w:val="004C0004"/>
    <w:rsid w:val="004C5D52"/>
    <w:rsid w:val="004E19AD"/>
    <w:rsid w:val="0050519A"/>
    <w:rsid w:val="005072A1"/>
    <w:rsid w:val="00514517"/>
    <w:rsid w:val="00545827"/>
    <w:rsid w:val="00560270"/>
    <w:rsid w:val="00573A51"/>
    <w:rsid w:val="005C2568"/>
    <w:rsid w:val="005C2FC4"/>
    <w:rsid w:val="005E4405"/>
    <w:rsid w:val="005F1B17"/>
    <w:rsid w:val="006037C0"/>
    <w:rsid w:val="00633B6B"/>
    <w:rsid w:val="006631B6"/>
    <w:rsid w:val="00680577"/>
    <w:rsid w:val="006F74FA"/>
    <w:rsid w:val="007037BB"/>
    <w:rsid w:val="00731ADD"/>
    <w:rsid w:val="00734777"/>
    <w:rsid w:val="00747932"/>
    <w:rsid w:val="00751A4A"/>
    <w:rsid w:val="00756632"/>
    <w:rsid w:val="00762C74"/>
    <w:rsid w:val="00786EC0"/>
    <w:rsid w:val="007D1690"/>
    <w:rsid w:val="007E22AD"/>
    <w:rsid w:val="007F2954"/>
    <w:rsid w:val="00817416"/>
    <w:rsid w:val="00842779"/>
    <w:rsid w:val="00865F67"/>
    <w:rsid w:val="00874AD5"/>
    <w:rsid w:val="00881A7B"/>
    <w:rsid w:val="008840E5"/>
    <w:rsid w:val="00887B3E"/>
    <w:rsid w:val="008C2AC6"/>
    <w:rsid w:val="009060D7"/>
    <w:rsid w:val="00930C23"/>
    <w:rsid w:val="0093193B"/>
    <w:rsid w:val="00946A18"/>
    <w:rsid w:val="009509D8"/>
    <w:rsid w:val="00950B64"/>
    <w:rsid w:val="00981893"/>
    <w:rsid w:val="009B2600"/>
    <w:rsid w:val="00A03241"/>
    <w:rsid w:val="00A06748"/>
    <w:rsid w:val="00A1687D"/>
    <w:rsid w:val="00A3663F"/>
    <w:rsid w:val="00A43E52"/>
    <w:rsid w:val="00A4678D"/>
    <w:rsid w:val="00A778C7"/>
    <w:rsid w:val="00A95C35"/>
    <w:rsid w:val="00AB441E"/>
    <w:rsid w:val="00AB6293"/>
    <w:rsid w:val="00AE0928"/>
    <w:rsid w:val="00AF3B82"/>
    <w:rsid w:val="00B05AF9"/>
    <w:rsid w:val="00B12E95"/>
    <w:rsid w:val="00B22876"/>
    <w:rsid w:val="00B558F0"/>
    <w:rsid w:val="00BD48FE"/>
    <w:rsid w:val="00BD7BD8"/>
    <w:rsid w:val="00BE6ADC"/>
    <w:rsid w:val="00C05BFE"/>
    <w:rsid w:val="00C23CD4"/>
    <w:rsid w:val="00C61C0C"/>
    <w:rsid w:val="00C76A61"/>
    <w:rsid w:val="00C941CB"/>
    <w:rsid w:val="00CC2357"/>
    <w:rsid w:val="00CD44F5"/>
    <w:rsid w:val="00CF071A"/>
    <w:rsid w:val="00D058B8"/>
    <w:rsid w:val="00D30F5F"/>
    <w:rsid w:val="00D56C11"/>
    <w:rsid w:val="00D834A0"/>
    <w:rsid w:val="00D872DF"/>
    <w:rsid w:val="00D91E21"/>
    <w:rsid w:val="00DA7FCD"/>
    <w:rsid w:val="00E22F99"/>
    <w:rsid w:val="00E365E1"/>
    <w:rsid w:val="00E70553"/>
    <w:rsid w:val="00E820A4"/>
    <w:rsid w:val="00E85D70"/>
    <w:rsid w:val="00EB006A"/>
    <w:rsid w:val="00EB4772"/>
    <w:rsid w:val="00ED169E"/>
    <w:rsid w:val="00ED4235"/>
    <w:rsid w:val="00F04346"/>
    <w:rsid w:val="00F075DC"/>
    <w:rsid w:val="00F13EF4"/>
    <w:rsid w:val="00F149E9"/>
    <w:rsid w:val="00F34613"/>
    <w:rsid w:val="00F5134D"/>
    <w:rsid w:val="00F74202"/>
    <w:rsid w:val="00F751C8"/>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5D419"/>
  <w15:chartTrackingRefBased/>
  <w15:docId w15:val="{87D8E525-C1E6-478D-AA07-1C45DE7D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63A46"/>
    <w:rPr>
      <w:b/>
      <w:kern w:val="28"/>
      <w:sz w:val="28"/>
      <w:lang w:val="fr-FR" w:eastAsia="fr-FR"/>
    </w:rPr>
  </w:style>
  <w:style w:type="character" w:customStyle="1" w:styleId="Heading2Char">
    <w:name w:val="Heading 2 Char"/>
    <w:basedOn w:val="DefaultParagraphFont"/>
    <w:link w:val="Heading2"/>
    <w:semiHidden/>
    <w:rsid w:val="00363A46"/>
    <w:rPr>
      <w:sz w:val="24"/>
      <w:lang w:val="fr-FR" w:eastAsia="fr-FR"/>
    </w:rPr>
  </w:style>
  <w:style w:type="character" w:customStyle="1" w:styleId="Heading3Char">
    <w:name w:val="Heading 3 Char"/>
    <w:basedOn w:val="DefaultParagraphFont"/>
    <w:link w:val="Heading3"/>
    <w:semiHidden/>
    <w:rsid w:val="00363A46"/>
    <w:rPr>
      <w:rFonts w:ascii="Arial" w:hAnsi="Arial"/>
      <w:sz w:val="24"/>
      <w:lang w:val="fr-FR" w:eastAsia="fr-FR"/>
    </w:rPr>
  </w:style>
  <w:style w:type="character" w:customStyle="1" w:styleId="Heading4Char">
    <w:name w:val="Heading 4 Char"/>
    <w:basedOn w:val="DefaultParagraphFont"/>
    <w:link w:val="Heading4"/>
    <w:semiHidden/>
    <w:rsid w:val="00363A46"/>
    <w:rPr>
      <w:sz w:val="24"/>
      <w:lang w:val="en-US" w:eastAsia="fr-FR"/>
    </w:rPr>
  </w:style>
  <w:style w:type="character" w:customStyle="1" w:styleId="Heading5Char">
    <w:name w:val="Heading 5 Char"/>
    <w:basedOn w:val="DefaultParagraphFont"/>
    <w:link w:val="Heading5"/>
    <w:semiHidden/>
    <w:rsid w:val="00363A46"/>
    <w:rPr>
      <w:sz w:val="24"/>
      <w:lang w:val="en-US" w:eastAsia="fr-FR"/>
    </w:rPr>
  </w:style>
  <w:style w:type="character" w:customStyle="1" w:styleId="Heading6Char">
    <w:name w:val="Heading 6 Char"/>
    <w:basedOn w:val="DefaultParagraphFont"/>
    <w:link w:val="Heading6"/>
    <w:semiHidden/>
    <w:rsid w:val="00363A46"/>
    <w:rPr>
      <w:i/>
      <w:sz w:val="22"/>
    </w:rPr>
  </w:style>
  <w:style w:type="character" w:customStyle="1" w:styleId="Heading7Char">
    <w:name w:val="Heading 7 Char"/>
    <w:basedOn w:val="DefaultParagraphFont"/>
    <w:link w:val="Heading7"/>
    <w:semiHidden/>
    <w:rsid w:val="00363A46"/>
    <w:rPr>
      <w:rFonts w:ascii="Arial" w:hAnsi="Arial"/>
      <w:sz w:val="24"/>
    </w:rPr>
  </w:style>
  <w:style w:type="character" w:customStyle="1" w:styleId="Heading8Char">
    <w:name w:val="Heading 8 Char"/>
    <w:basedOn w:val="DefaultParagraphFont"/>
    <w:link w:val="Heading8"/>
    <w:semiHidden/>
    <w:rsid w:val="00363A46"/>
    <w:rPr>
      <w:rFonts w:ascii="Arial" w:hAnsi="Arial"/>
      <w:i/>
      <w:sz w:val="24"/>
    </w:rPr>
  </w:style>
  <w:style w:type="character" w:customStyle="1" w:styleId="Heading9Char">
    <w:name w:val="Heading 9 Char"/>
    <w:basedOn w:val="DefaultParagraphFont"/>
    <w:link w:val="Heading9"/>
    <w:semiHidden/>
    <w:rsid w:val="00363A46"/>
    <w:rPr>
      <w:rFonts w:ascii="Arial" w:hAnsi="Arial"/>
      <w:b/>
      <w:i/>
      <w:sz w:val="18"/>
    </w:rPr>
  </w:style>
  <w:style w:type="paragraph" w:styleId="TOCHeading">
    <w:name w:val="TOC Heading"/>
    <w:basedOn w:val="Normal"/>
    <w:next w:val="Normal"/>
    <w:unhideWhenUsed/>
    <w:qFormat/>
    <w:rsid w:val="00363A46"/>
    <w:pPr>
      <w:widowControl/>
      <w:spacing w:after="240"/>
    </w:pPr>
  </w:style>
  <w:style w:type="paragraph" w:customStyle="1" w:styleId="EPFooter2">
    <w:name w:val="EPFooter2"/>
    <w:basedOn w:val="Normal"/>
    <w:next w:val="Normal"/>
    <w:rsid w:val="00363A4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63A46"/>
    <w:pPr>
      <w:keepNext/>
      <w:spacing w:after="240"/>
      <w:jc w:val="right"/>
    </w:pPr>
    <w:rPr>
      <w:rFonts w:ascii="Arial" w:hAnsi="Arial"/>
      <w:b/>
    </w:rPr>
  </w:style>
  <w:style w:type="paragraph" w:customStyle="1" w:styleId="Normal6a">
    <w:name w:val="Normal6a"/>
    <w:basedOn w:val="Normal"/>
    <w:rsid w:val="00363A46"/>
    <w:pPr>
      <w:spacing w:after="120"/>
    </w:pPr>
  </w:style>
  <w:style w:type="paragraph" w:customStyle="1" w:styleId="PageHeading">
    <w:name w:val="PageHeading"/>
    <w:basedOn w:val="Normal"/>
    <w:rsid w:val="00363A46"/>
    <w:pPr>
      <w:keepNext/>
      <w:spacing w:after="480"/>
      <w:jc w:val="center"/>
    </w:pPr>
    <w:rPr>
      <w:rFonts w:ascii="Arial" w:hAnsi="Arial" w:cs="Arial"/>
      <w:b/>
    </w:rPr>
  </w:style>
  <w:style w:type="paragraph" w:customStyle="1" w:styleId="NormalBold">
    <w:name w:val="NormalBold"/>
    <w:basedOn w:val="Normal"/>
    <w:link w:val="NormalBoldChar"/>
    <w:rsid w:val="00363A46"/>
    <w:rPr>
      <w:b/>
    </w:rPr>
  </w:style>
  <w:style w:type="character" w:customStyle="1" w:styleId="NormalBoldChar">
    <w:name w:val="NormalBold Char"/>
    <w:basedOn w:val="DefaultParagraphFont"/>
    <w:link w:val="NormalBold"/>
    <w:locked/>
    <w:rsid w:val="00363A46"/>
    <w:rPr>
      <w:b/>
      <w:sz w:val="24"/>
    </w:rPr>
  </w:style>
  <w:style w:type="paragraph" w:customStyle="1" w:styleId="NormalBold12a">
    <w:name w:val="NormalBold12a"/>
    <w:basedOn w:val="Normal"/>
    <w:rsid w:val="00363A46"/>
    <w:pPr>
      <w:spacing w:after="240"/>
    </w:pPr>
    <w:rPr>
      <w:b/>
    </w:rPr>
  </w:style>
  <w:style w:type="paragraph" w:customStyle="1" w:styleId="AmJustText">
    <w:name w:val="AmJustText"/>
    <w:basedOn w:val="Normal"/>
    <w:rsid w:val="00363A46"/>
    <w:pPr>
      <w:spacing w:after="240"/>
    </w:pPr>
    <w:rPr>
      <w:i/>
    </w:rPr>
  </w:style>
  <w:style w:type="paragraph" w:customStyle="1" w:styleId="NormalHanging12a">
    <w:name w:val="NormalHanging12a"/>
    <w:basedOn w:val="Normal"/>
    <w:rsid w:val="00363A46"/>
    <w:pPr>
      <w:spacing w:after="240"/>
      <w:ind w:left="567" w:hanging="567"/>
    </w:pPr>
  </w:style>
  <w:style w:type="paragraph" w:customStyle="1" w:styleId="CoverNormal24a">
    <w:name w:val="CoverNormal24a"/>
    <w:basedOn w:val="Normal"/>
    <w:rsid w:val="00363A46"/>
    <w:pPr>
      <w:spacing w:after="480"/>
      <w:ind w:left="1417"/>
    </w:pPr>
  </w:style>
  <w:style w:type="paragraph" w:customStyle="1" w:styleId="CoverNormal">
    <w:name w:val="CoverNormal"/>
    <w:basedOn w:val="Normal"/>
    <w:rsid w:val="00363A46"/>
    <w:pPr>
      <w:ind w:left="1418"/>
    </w:pPr>
  </w:style>
  <w:style w:type="paragraph" w:customStyle="1" w:styleId="AmCrossRef">
    <w:name w:val="AmCrossRef"/>
    <w:basedOn w:val="Normal"/>
    <w:rsid w:val="00363A46"/>
    <w:pPr>
      <w:spacing w:before="240" w:after="240"/>
      <w:jc w:val="center"/>
    </w:pPr>
    <w:rPr>
      <w:i/>
    </w:rPr>
  </w:style>
  <w:style w:type="paragraph" w:customStyle="1" w:styleId="AmJustTitle">
    <w:name w:val="AmJustTitle"/>
    <w:basedOn w:val="Normal"/>
    <w:next w:val="AmJustText"/>
    <w:rsid w:val="00363A46"/>
    <w:pPr>
      <w:keepNext/>
      <w:spacing w:before="240" w:after="240"/>
      <w:jc w:val="center"/>
    </w:pPr>
    <w:rPr>
      <w:i/>
    </w:rPr>
  </w:style>
  <w:style w:type="paragraph" w:customStyle="1" w:styleId="CoverReference">
    <w:name w:val="CoverReference"/>
    <w:basedOn w:val="Normal"/>
    <w:rsid w:val="00363A46"/>
    <w:pPr>
      <w:spacing w:before="1080"/>
      <w:jc w:val="right"/>
    </w:pPr>
    <w:rPr>
      <w:rFonts w:ascii="Arial" w:hAnsi="Arial" w:cs="Arial"/>
      <w:b/>
    </w:rPr>
  </w:style>
  <w:style w:type="paragraph" w:customStyle="1" w:styleId="CoverDocType">
    <w:name w:val="CoverDocType"/>
    <w:basedOn w:val="Normal"/>
    <w:rsid w:val="00363A46"/>
    <w:pPr>
      <w:ind w:left="1418"/>
    </w:pPr>
    <w:rPr>
      <w:rFonts w:ascii="Arial" w:hAnsi="Arial"/>
      <w:b/>
      <w:sz w:val="48"/>
    </w:rPr>
  </w:style>
  <w:style w:type="paragraph" w:customStyle="1" w:styleId="CoverDocType24a">
    <w:name w:val="CoverDocType24a"/>
    <w:basedOn w:val="Normal"/>
    <w:rsid w:val="00363A46"/>
    <w:pPr>
      <w:spacing w:after="480"/>
      <w:ind w:left="1418"/>
    </w:pPr>
    <w:rPr>
      <w:rFonts w:ascii="Arial" w:hAnsi="Arial"/>
      <w:b/>
      <w:sz w:val="48"/>
    </w:rPr>
  </w:style>
  <w:style w:type="paragraph" w:customStyle="1" w:styleId="CoverDate">
    <w:name w:val="CoverDate"/>
    <w:basedOn w:val="Normal"/>
    <w:rsid w:val="00363A46"/>
    <w:pPr>
      <w:spacing w:before="240" w:after="1200"/>
    </w:pPr>
  </w:style>
  <w:style w:type="paragraph" w:styleId="Header">
    <w:name w:val="header"/>
    <w:basedOn w:val="Normal"/>
    <w:link w:val="HeaderChar"/>
    <w:rsid w:val="00363A46"/>
    <w:pPr>
      <w:tabs>
        <w:tab w:val="center" w:pos="4513"/>
        <w:tab w:val="right" w:pos="9026"/>
      </w:tabs>
    </w:pPr>
  </w:style>
  <w:style w:type="character" w:customStyle="1" w:styleId="HeaderChar">
    <w:name w:val="Header Char"/>
    <w:basedOn w:val="DefaultParagraphFont"/>
    <w:link w:val="Header"/>
    <w:rsid w:val="00363A46"/>
    <w:rPr>
      <w:sz w:val="24"/>
    </w:rPr>
  </w:style>
  <w:style w:type="paragraph" w:customStyle="1" w:styleId="AmOrLang">
    <w:name w:val="AmOrLang"/>
    <w:basedOn w:val="Normal"/>
    <w:rsid w:val="00363A46"/>
    <w:pPr>
      <w:spacing w:before="240" w:after="240"/>
      <w:jc w:val="right"/>
    </w:pPr>
  </w:style>
  <w:style w:type="paragraph" w:customStyle="1" w:styleId="AmColumnHeading">
    <w:name w:val="AmColumnHeading"/>
    <w:basedOn w:val="Normal"/>
    <w:rsid w:val="00363A46"/>
    <w:pPr>
      <w:spacing w:after="240"/>
      <w:jc w:val="center"/>
    </w:pPr>
    <w:rPr>
      <w:i/>
    </w:rPr>
  </w:style>
  <w:style w:type="paragraph" w:customStyle="1" w:styleId="AmNumberTabs">
    <w:name w:val="AmNumberTabs"/>
    <w:basedOn w:val="Normal"/>
    <w:rsid w:val="00363A4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63A46"/>
    <w:pPr>
      <w:spacing w:before="240"/>
    </w:pPr>
    <w:rPr>
      <w:b/>
    </w:rPr>
  </w:style>
  <w:style w:type="paragraph" w:customStyle="1" w:styleId="EPBody">
    <w:name w:val="EPBody"/>
    <w:basedOn w:val="Normal"/>
    <w:rsid w:val="00363A46"/>
    <w:pPr>
      <w:jc w:val="center"/>
    </w:pPr>
    <w:rPr>
      <w:rFonts w:ascii="Arial" w:hAnsi="Arial" w:cs="Arial"/>
      <w:i/>
      <w:sz w:val="22"/>
      <w:szCs w:val="22"/>
    </w:rPr>
  </w:style>
  <w:style w:type="paragraph" w:customStyle="1" w:styleId="EPFooter">
    <w:name w:val="EPFooter"/>
    <w:basedOn w:val="Normal"/>
    <w:rsid w:val="00363A46"/>
    <w:pPr>
      <w:tabs>
        <w:tab w:val="center" w:pos="4535"/>
        <w:tab w:val="right" w:pos="9071"/>
      </w:tabs>
      <w:spacing w:before="240" w:after="240"/>
    </w:pPr>
    <w:rPr>
      <w:color w:val="010000"/>
      <w:sz w:val="22"/>
    </w:rPr>
  </w:style>
  <w:style w:type="paragraph" w:customStyle="1" w:styleId="EPComma">
    <w:name w:val="EPComma"/>
    <w:basedOn w:val="Normal"/>
    <w:rsid w:val="00363A46"/>
    <w:pPr>
      <w:spacing w:before="480" w:after="240"/>
    </w:pPr>
  </w:style>
  <w:style w:type="paragraph" w:customStyle="1" w:styleId="Lgendesigne">
    <w:name w:val="Légende signe"/>
    <w:basedOn w:val="Normal"/>
    <w:rsid w:val="00363A46"/>
    <w:pPr>
      <w:tabs>
        <w:tab w:val="right" w:pos="454"/>
        <w:tab w:val="left" w:pos="737"/>
      </w:tabs>
      <w:ind w:left="737" w:hanging="737"/>
    </w:pPr>
    <w:rPr>
      <w:snapToGrid w:val="0"/>
      <w:sz w:val="18"/>
      <w:lang w:eastAsia="en-US"/>
    </w:rPr>
  </w:style>
  <w:style w:type="paragraph" w:customStyle="1" w:styleId="Lgendetitre">
    <w:name w:val="Légende titre"/>
    <w:basedOn w:val="Normal"/>
    <w:rsid w:val="00363A46"/>
    <w:pPr>
      <w:spacing w:before="240" w:after="240"/>
    </w:pPr>
    <w:rPr>
      <w:b/>
      <w:i/>
      <w:snapToGrid w:val="0"/>
      <w:lang w:eastAsia="en-US"/>
    </w:rPr>
  </w:style>
  <w:style w:type="paragraph" w:customStyle="1" w:styleId="Lgendestandard">
    <w:name w:val="Légende standard"/>
    <w:basedOn w:val="Normal"/>
    <w:rsid w:val="00363A46"/>
    <w:rPr>
      <w:sz w:val="18"/>
    </w:rPr>
  </w:style>
  <w:style w:type="character" w:customStyle="1" w:styleId="FooterChar">
    <w:name w:val="Footer Char"/>
    <w:basedOn w:val="DefaultParagraphFont"/>
    <w:link w:val="Footer"/>
    <w:rsid w:val="00363A46"/>
    <w:rPr>
      <w:sz w:val="22"/>
    </w:rPr>
  </w:style>
  <w:style w:type="paragraph" w:styleId="Footer">
    <w:name w:val="footer"/>
    <w:link w:val="FooterChar"/>
    <w:unhideWhenUsed/>
    <w:rsid w:val="00363A46"/>
    <w:pPr>
      <w:tabs>
        <w:tab w:val="center" w:pos="4536"/>
        <w:tab w:val="right" w:pos="9072"/>
      </w:tabs>
      <w:spacing w:before="240" w:after="240" w:line="220" w:lineRule="auto"/>
    </w:pPr>
    <w:rPr>
      <w:sz w:val="22"/>
    </w:rPr>
  </w:style>
  <w:style w:type="character" w:customStyle="1" w:styleId="FooterChar1">
    <w:name w:val="Footer Char1"/>
    <w:basedOn w:val="DefaultParagraphFont"/>
    <w:rsid w:val="00363A46"/>
    <w:rPr>
      <w:sz w:val="24"/>
    </w:rPr>
  </w:style>
  <w:style w:type="character" w:customStyle="1" w:styleId="Normal12Char">
    <w:name w:val="Normal12 Char"/>
    <w:basedOn w:val="DefaultParagraphFont"/>
    <w:link w:val="Normal12"/>
    <w:locked/>
    <w:rsid w:val="00363A46"/>
    <w:rPr>
      <w:noProof/>
      <w:sz w:val="24"/>
    </w:rPr>
  </w:style>
  <w:style w:type="paragraph" w:customStyle="1" w:styleId="Normal12">
    <w:name w:val="Normal12"/>
    <w:basedOn w:val="Normal"/>
    <w:link w:val="Normal12Char"/>
    <w:rsid w:val="00363A46"/>
    <w:pPr>
      <w:spacing w:after="240"/>
    </w:pPr>
    <w:rPr>
      <w:noProof/>
    </w:rPr>
  </w:style>
  <w:style w:type="character" w:customStyle="1" w:styleId="Normal6Char">
    <w:name w:val="Normal6 Char"/>
    <w:basedOn w:val="DefaultParagraphFont"/>
    <w:link w:val="Normal6"/>
    <w:locked/>
    <w:rsid w:val="00363A46"/>
    <w:rPr>
      <w:sz w:val="24"/>
    </w:rPr>
  </w:style>
  <w:style w:type="paragraph" w:customStyle="1" w:styleId="Normal6">
    <w:name w:val="Normal6"/>
    <w:basedOn w:val="Normal"/>
    <w:link w:val="Normal6Char"/>
    <w:rsid w:val="00363A46"/>
    <w:pPr>
      <w:spacing w:after="120"/>
    </w:pPr>
  </w:style>
  <w:style w:type="paragraph" w:customStyle="1" w:styleId="Normal12Italic">
    <w:name w:val="Normal12Italic"/>
    <w:basedOn w:val="Normal12"/>
    <w:rsid w:val="00363A46"/>
    <w:rPr>
      <w:i/>
    </w:rPr>
  </w:style>
  <w:style w:type="paragraph" w:customStyle="1" w:styleId="Footer2">
    <w:name w:val="Footer2"/>
    <w:basedOn w:val="Normal12"/>
    <w:rsid w:val="00363A46"/>
    <w:pPr>
      <w:tabs>
        <w:tab w:val="center" w:pos="4535"/>
        <w:tab w:val="right" w:pos="9923"/>
      </w:tabs>
      <w:spacing w:line="480" w:lineRule="auto"/>
      <w:ind w:left="-851"/>
    </w:pPr>
    <w:rPr>
      <w:rFonts w:ascii="Arial" w:cs="Arial"/>
      <w:b/>
      <w:sz w:val="48"/>
    </w:rPr>
  </w:style>
  <w:style w:type="paragraph" w:customStyle="1" w:styleId="EntPE">
    <w:name w:val="EntPE"/>
    <w:basedOn w:val="Normal12"/>
    <w:rsid w:val="00363A46"/>
    <w:pPr>
      <w:jc w:val="center"/>
    </w:pPr>
    <w:rPr>
      <w:noProof w:val="0"/>
      <w:sz w:val="56"/>
    </w:rPr>
  </w:style>
  <w:style w:type="paragraph" w:customStyle="1" w:styleId="AMNumberTabs0">
    <w:name w:val="AMNumberTabs"/>
    <w:basedOn w:val="Normal"/>
    <w:rsid w:val="00363A4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63A46"/>
    <w:pPr>
      <w:spacing w:after="240"/>
      <w:jc w:val="center"/>
    </w:pPr>
    <w:rPr>
      <w:i/>
    </w:rPr>
  </w:style>
  <w:style w:type="paragraph" w:customStyle="1" w:styleId="Olang">
    <w:name w:val="Olang"/>
    <w:basedOn w:val="Normal"/>
    <w:rsid w:val="00363A46"/>
    <w:pPr>
      <w:spacing w:before="240" w:after="240"/>
      <w:jc w:val="right"/>
    </w:pPr>
    <w:rPr>
      <w:noProof/>
      <w:szCs w:val="24"/>
    </w:rPr>
  </w:style>
  <w:style w:type="paragraph" w:customStyle="1" w:styleId="JustificationTitle">
    <w:name w:val="JustificationTitle"/>
    <w:basedOn w:val="Normal"/>
    <w:next w:val="Normal12"/>
    <w:rsid w:val="00363A46"/>
    <w:pPr>
      <w:keepNext/>
      <w:spacing w:before="240" w:after="240"/>
      <w:jc w:val="center"/>
    </w:pPr>
    <w:rPr>
      <w:i/>
      <w:noProof/>
    </w:rPr>
  </w:style>
  <w:style w:type="paragraph" w:customStyle="1" w:styleId="CrossRef">
    <w:name w:val="CrossRef"/>
    <w:basedOn w:val="Normal"/>
    <w:rsid w:val="00363A46"/>
    <w:pPr>
      <w:spacing w:before="240"/>
      <w:jc w:val="center"/>
    </w:pPr>
    <w:rPr>
      <w:i/>
    </w:rPr>
  </w:style>
  <w:style w:type="paragraph" w:styleId="NormalWeb">
    <w:name w:val="Normal (Web)"/>
    <w:basedOn w:val="Normal"/>
    <w:uiPriority w:val="99"/>
    <w:unhideWhenUsed/>
    <w:rsid w:val="00363A46"/>
    <w:pPr>
      <w:widowControl/>
      <w:spacing w:before="100" w:beforeAutospacing="1" w:after="100" w:afterAutospacing="1"/>
    </w:pPr>
    <w:rPr>
      <w:szCs w:val="24"/>
    </w:rPr>
  </w:style>
  <w:style w:type="character" w:styleId="Hyperlink">
    <w:name w:val="Hyperlink"/>
    <w:basedOn w:val="DefaultParagraphFont"/>
    <w:uiPriority w:val="99"/>
    <w:unhideWhenUsed/>
    <w:rsid w:val="00363A46"/>
    <w:rPr>
      <w:color w:val="0563C1"/>
      <w:u w:val="single"/>
    </w:rPr>
  </w:style>
  <w:style w:type="paragraph" w:styleId="BalloonText">
    <w:name w:val="Balloon Text"/>
    <w:basedOn w:val="Normal"/>
    <w:link w:val="BalloonTextChar"/>
    <w:unhideWhenUsed/>
    <w:rsid w:val="00363A46"/>
    <w:rPr>
      <w:rFonts w:ascii="Segoe UI" w:hAnsi="Segoe UI" w:cs="Segoe UI"/>
      <w:sz w:val="18"/>
      <w:szCs w:val="18"/>
    </w:rPr>
  </w:style>
  <w:style w:type="character" w:customStyle="1" w:styleId="BalloonTextChar">
    <w:name w:val="Balloon Text Char"/>
    <w:basedOn w:val="DefaultParagraphFont"/>
    <w:link w:val="BalloonText"/>
    <w:rsid w:val="00363A46"/>
    <w:rPr>
      <w:rFonts w:ascii="Segoe UI" w:hAnsi="Segoe UI" w:cs="Segoe UI"/>
      <w:sz w:val="18"/>
      <w:szCs w:val="18"/>
    </w:rPr>
  </w:style>
  <w:style w:type="character" w:styleId="CommentReference">
    <w:name w:val="annotation reference"/>
    <w:basedOn w:val="DefaultParagraphFont"/>
    <w:rsid w:val="00363A46"/>
    <w:rPr>
      <w:sz w:val="16"/>
      <w:szCs w:val="16"/>
    </w:rPr>
  </w:style>
  <w:style w:type="paragraph" w:styleId="CommentText">
    <w:name w:val="annotation text"/>
    <w:basedOn w:val="Normal"/>
    <w:link w:val="CommentTextChar"/>
    <w:rsid w:val="00363A46"/>
    <w:rPr>
      <w:sz w:val="20"/>
    </w:rPr>
  </w:style>
  <w:style w:type="character" w:customStyle="1" w:styleId="CommentTextChar">
    <w:name w:val="Comment Text Char"/>
    <w:basedOn w:val="DefaultParagraphFont"/>
    <w:link w:val="CommentText"/>
    <w:rsid w:val="00363A46"/>
  </w:style>
  <w:style w:type="paragraph" w:styleId="CommentSubject">
    <w:name w:val="annotation subject"/>
    <w:basedOn w:val="CommentText"/>
    <w:next w:val="CommentText"/>
    <w:link w:val="CommentSubjectChar"/>
    <w:unhideWhenUsed/>
    <w:rsid w:val="00363A46"/>
    <w:rPr>
      <w:b/>
      <w:bCs/>
    </w:rPr>
  </w:style>
  <w:style w:type="character" w:customStyle="1" w:styleId="CommentSubjectChar">
    <w:name w:val="Comment Subject Char"/>
    <w:basedOn w:val="CommentTextChar"/>
    <w:link w:val="CommentSubject"/>
    <w:rsid w:val="00363A46"/>
    <w:rPr>
      <w:b/>
      <w:bCs/>
    </w:rPr>
  </w:style>
  <w:style w:type="paragraph" w:customStyle="1" w:styleId="Point1">
    <w:name w:val="Point 1"/>
    <w:basedOn w:val="Normal"/>
    <w:rsid w:val="00363A46"/>
    <w:pPr>
      <w:widowControl/>
      <w:spacing w:before="120" w:after="120"/>
      <w:ind w:left="1417" w:hanging="567"/>
      <w:jc w:val="both"/>
    </w:pPr>
    <w:rPr>
      <w:rFonts w:eastAsiaTheme="minorHAnsi"/>
      <w:szCs w:val="22"/>
      <w:lang w:eastAsia="en-US"/>
    </w:rPr>
  </w:style>
  <w:style w:type="character" w:styleId="Emphasis">
    <w:name w:val="Emphasis"/>
    <w:basedOn w:val="DefaultParagraphFont"/>
    <w:uiPriority w:val="20"/>
    <w:qFormat/>
    <w:rsid w:val="00363A46"/>
    <w:rPr>
      <w:i/>
      <w:iCs/>
    </w:rPr>
  </w:style>
  <w:style w:type="paragraph" w:styleId="Revision">
    <w:name w:val="Revision"/>
    <w:hidden/>
    <w:uiPriority w:val="99"/>
    <w:semiHidden/>
    <w:rsid w:val="00363A46"/>
    <w:rPr>
      <w:sz w:val="24"/>
    </w:rPr>
  </w:style>
  <w:style w:type="paragraph" w:customStyle="1" w:styleId="Normal12a">
    <w:name w:val="Normal12a"/>
    <w:basedOn w:val="Normal"/>
    <w:rsid w:val="00363A46"/>
    <w:pPr>
      <w:spacing w:after="240"/>
    </w:pPr>
  </w:style>
  <w:style w:type="paragraph" w:customStyle="1" w:styleId="RollCallVotes">
    <w:name w:val="RollCallVotes"/>
    <w:basedOn w:val="Normal"/>
    <w:rsid w:val="00363A46"/>
    <w:pPr>
      <w:spacing w:before="120" w:after="120"/>
      <w:jc w:val="center"/>
    </w:pPr>
    <w:rPr>
      <w:b/>
      <w:bCs/>
      <w:snapToGrid w:val="0"/>
      <w:sz w:val="16"/>
      <w:lang w:eastAsia="en-US"/>
    </w:rPr>
  </w:style>
  <w:style w:type="paragraph" w:customStyle="1" w:styleId="RollCallTabs">
    <w:name w:val="RollCallTabs"/>
    <w:basedOn w:val="Normal"/>
    <w:qFormat/>
    <w:rsid w:val="00363A46"/>
    <w:pPr>
      <w:tabs>
        <w:tab w:val="center" w:pos="284"/>
        <w:tab w:val="left" w:pos="426"/>
      </w:tabs>
    </w:pPr>
    <w:rPr>
      <w:snapToGrid w:val="0"/>
      <w:lang w:eastAsia="en-US"/>
    </w:rPr>
  </w:style>
  <w:style w:type="paragraph" w:customStyle="1" w:styleId="RollCallSymbols14pt">
    <w:name w:val="RollCallSymbols14pt"/>
    <w:basedOn w:val="Normal"/>
    <w:rsid w:val="00363A46"/>
    <w:pPr>
      <w:spacing w:before="120" w:after="120"/>
      <w:jc w:val="center"/>
    </w:pPr>
    <w:rPr>
      <w:rFonts w:ascii="Arial" w:hAnsi="Arial"/>
      <w:b/>
      <w:bCs/>
      <w:snapToGrid w:val="0"/>
      <w:sz w:val="28"/>
      <w:lang w:eastAsia="en-US"/>
    </w:rPr>
  </w:style>
  <w:style w:type="paragraph" w:customStyle="1" w:styleId="RollCallTable">
    <w:name w:val="RollCallTable"/>
    <w:basedOn w:val="Normal"/>
    <w:rsid w:val="00363A46"/>
    <w:pPr>
      <w:spacing w:before="120" w:after="120"/>
    </w:pPr>
    <w:rPr>
      <w:snapToGrid w:val="0"/>
      <w:sz w:val="16"/>
      <w:lang w:eastAsia="en-US"/>
    </w:rPr>
  </w:style>
  <w:style w:type="character" w:styleId="UnresolvedMention">
    <w:name w:val="Unresolved Mention"/>
    <w:basedOn w:val="DefaultParagraphFont"/>
    <w:uiPriority w:val="99"/>
    <w:semiHidden/>
    <w:unhideWhenUsed/>
    <w:rsid w:val="003D5318"/>
    <w:rPr>
      <w:color w:val="605E5C"/>
      <w:shd w:val="clear" w:color="auto" w:fill="E1DFDD"/>
    </w:rPr>
  </w:style>
  <w:style w:type="character" w:styleId="FollowedHyperlink">
    <w:name w:val="FollowedHyperlink"/>
    <w:basedOn w:val="DefaultParagraphFont"/>
    <w:rsid w:val="00633B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6/471/oj" TargetMode="External"/><Relationship Id="rId2" Type="http://schemas.openxmlformats.org/officeDocument/2006/relationships/hyperlink" Target="http://data.europa.eu/eli/C/2025/4418/oj" TargetMode="External"/><Relationship Id="rId1" Type="http://schemas.openxmlformats.org/officeDocument/2006/relationships/hyperlink" Target="http://data.europa.eu/eli/C/2025/516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661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SOLTYSOVA Zuzana</cp:lastModifiedBy>
  <cp:revision>3</cp:revision>
  <cp:lastPrinted>2004-11-19T15:42:00Z</cp:lastPrinted>
  <dcterms:created xsi:type="dcterms:W3CDTF">2026-04-14T09:37:00Z</dcterms:created>
  <dcterms:modified xsi:type="dcterms:W3CDTF">2026-04-30T14:44:00Z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P10_TA(2026)0028_</vt:lpwstr>
  </property>
  <property fmtid="{D5CDD505-2E9C-101B-9397-08002B2CF9AE}" pid="4" name="&lt;Type&gt;">
    <vt:lpwstr>RR</vt:lpwstr>
  </property>
</Properties>
</file>