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51ED" w14:paraId="28BE0C40" w14:textId="77777777" w:rsidTr="0010095E">
        <w:trPr>
          <w:trHeight w:hRule="exact" w:val="1418"/>
        </w:trPr>
        <w:tc>
          <w:tcPr>
            <w:tcW w:w="6804" w:type="dxa"/>
            <w:shd w:val="clear" w:color="auto" w:fill="auto"/>
            <w:vAlign w:val="center"/>
          </w:tcPr>
          <w:p w14:paraId="6E3B0237" w14:textId="77777777" w:rsidR="00751A4A" w:rsidRPr="007451ED" w:rsidRDefault="00776032" w:rsidP="0010095E">
            <w:pPr>
              <w:pStyle w:val="EPName"/>
            </w:pPr>
            <w:r w:rsidRPr="007451ED">
              <w:t>Parlamento Europeo</w:t>
            </w:r>
          </w:p>
          <w:p w14:paraId="68D0F183" w14:textId="77777777" w:rsidR="00751A4A" w:rsidRPr="007451ED" w:rsidRDefault="005F1B17" w:rsidP="005F1B17">
            <w:pPr>
              <w:pStyle w:val="EPTerm"/>
              <w:rPr>
                <w:rStyle w:val="HideTWBExt"/>
                <w:noProof w:val="0"/>
                <w:vanish w:val="0"/>
                <w:color w:val="auto"/>
              </w:rPr>
            </w:pPr>
            <w:r w:rsidRPr="007451ED">
              <w:t>2024</w:t>
            </w:r>
            <w:r w:rsidR="00817416" w:rsidRPr="007451ED">
              <w:t>-202</w:t>
            </w:r>
            <w:r w:rsidRPr="007451ED">
              <w:t>9</w:t>
            </w:r>
          </w:p>
        </w:tc>
        <w:tc>
          <w:tcPr>
            <w:tcW w:w="2268" w:type="dxa"/>
            <w:shd w:val="clear" w:color="auto" w:fill="auto"/>
          </w:tcPr>
          <w:p w14:paraId="32CE2068" w14:textId="77777777" w:rsidR="00751A4A" w:rsidRPr="007451ED" w:rsidRDefault="00187494" w:rsidP="0010095E">
            <w:pPr>
              <w:pStyle w:val="EPLogo"/>
            </w:pPr>
            <w:r w:rsidRPr="007451ED">
              <w:rPr>
                <w:noProof/>
                <w:lang w:eastAsia="ja-JP"/>
              </w:rPr>
              <w:drawing>
                <wp:inline distT="0" distB="0" distL="0" distR="0" wp14:anchorId="0E64881D" wp14:editId="41C682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E8BE41" w14:textId="77777777" w:rsidR="00D058B8" w:rsidRPr="007451ED" w:rsidRDefault="00D058B8" w:rsidP="004C5D52">
      <w:pPr>
        <w:pStyle w:val="LineTop"/>
      </w:pPr>
    </w:p>
    <w:p w14:paraId="04D796A3" w14:textId="77777777" w:rsidR="00680577" w:rsidRPr="007451ED" w:rsidRDefault="00776032" w:rsidP="00680577">
      <w:pPr>
        <w:pStyle w:val="EPBodyTA1"/>
      </w:pPr>
      <w:r w:rsidRPr="007451ED">
        <w:t>TEXTOS APROBADOS</w:t>
      </w:r>
    </w:p>
    <w:p w14:paraId="5DBAA894" w14:textId="77777777" w:rsidR="00D058B8" w:rsidRPr="007451ED" w:rsidRDefault="00D058B8" w:rsidP="00D058B8">
      <w:pPr>
        <w:pStyle w:val="LineBottom"/>
      </w:pPr>
    </w:p>
    <w:p w14:paraId="5CE22CE6" w14:textId="02500FDD" w:rsidR="00776032" w:rsidRPr="007451ED" w:rsidRDefault="00776032" w:rsidP="00776032">
      <w:pPr>
        <w:pStyle w:val="ATHeading1"/>
      </w:pPr>
      <w:bookmarkStart w:id="0" w:name="TANumber"/>
      <w:r w:rsidRPr="007451ED">
        <w:t>P10_</w:t>
      </w:r>
      <w:proofErr w:type="gramStart"/>
      <w:r w:rsidRPr="007451ED">
        <w:t>TA(</w:t>
      </w:r>
      <w:proofErr w:type="gramEnd"/>
      <w:r w:rsidRPr="007451ED">
        <w:t>2026)</w:t>
      </w:r>
      <w:bookmarkEnd w:id="0"/>
      <w:r w:rsidR="002F7425" w:rsidRPr="007451ED">
        <w:t>0028</w:t>
      </w:r>
    </w:p>
    <w:p w14:paraId="6BE16C69" w14:textId="43953191" w:rsidR="00776032" w:rsidRPr="007451ED" w:rsidRDefault="00776032" w:rsidP="005113C8">
      <w:pPr>
        <w:pStyle w:val="ATHeading2"/>
        <w:rPr>
          <w:bCs/>
          <w:lang w:val="es-ES"/>
        </w:rPr>
      </w:pPr>
      <w:bookmarkStart w:id="1" w:name="title"/>
      <w:r w:rsidRPr="007451ED">
        <w:t xml:space="preserve">Modificación </w:t>
      </w:r>
      <w:r w:rsidR="005113C8" w:rsidRPr="007451ED">
        <w:rPr>
          <w:bCs/>
          <w:lang w:val="es-ES"/>
        </w:rPr>
        <w:t>de Reglamentos sobre productos agrícolas en lo que respecta a las normas de comercialización y las medidas de apoyo sectorial en el sector vitivinícola y a los productos vitivinícolas aromatizados</w:t>
      </w:r>
      <w:bookmarkEnd w:id="1"/>
    </w:p>
    <w:p w14:paraId="4208F7D3" w14:textId="77777777" w:rsidR="00776032" w:rsidRPr="007451ED" w:rsidRDefault="00776032" w:rsidP="00776032">
      <w:pPr>
        <w:rPr>
          <w:i/>
          <w:vanish/>
        </w:rPr>
      </w:pPr>
      <w:r w:rsidRPr="007451ED">
        <w:rPr>
          <w:i/>
        </w:rPr>
        <w:fldChar w:fldCharType="begin"/>
      </w:r>
      <w:r w:rsidRPr="007451ED">
        <w:rPr>
          <w:i/>
        </w:rPr>
        <w:instrText xml:space="preserve"> TC"(</w:instrText>
      </w:r>
      <w:bookmarkStart w:id="2" w:name="DocNumber"/>
      <w:r w:rsidRPr="007451ED">
        <w:rPr>
          <w:i/>
        </w:rPr>
        <w:instrText>A10-0220/2025</w:instrText>
      </w:r>
      <w:bookmarkEnd w:id="2"/>
      <w:r w:rsidRPr="007451ED">
        <w:rPr>
          <w:i/>
        </w:rPr>
        <w:instrText xml:space="preserve"> - Ponente: Esther Herranz García)"\l3 \n&gt; \* MERGEFORMAT </w:instrText>
      </w:r>
      <w:r w:rsidRPr="007451ED">
        <w:rPr>
          <w:i/>
        </w:rPr>
        <w:fldChar w:fldCharType="end"/>
      </w:r>
    </w:p>
    <w:p w14:paraId="6D1820E8" w14:textId="77777777" w:rsidR="00776032" w:rsidRPr="007451ED" w:rsidRDefault="00776032" w:rsidP="00776032">
      <w:pPr>
        <w:rPr>
          <w:vanish/>
        </w:rPr>
      </w:pPr>
      <w:bookmarkStart w:id="3" w:name="Commission"/>
      <w:r w:rsidRPr="007451ED">
        <w:rPr>
          <w:vanish/>
        </w:rPr>
        <w:t>Comisión de Agricultura y Desarrollo Rural</w:t>
      </w:r>
      <w:bookmarkEnd w:id="3"/>
    </w:p>
    <w:p w14:paraId="51B35A84" w14:textId="77777777" w:rsidR="00776032" w:rsidRPr="007451ED" w:rsidRDefault="00776032" w:rsidP="00776032">
      <w:pPr>
        <w:rPr>
          <w:vanish/>
        </w:rPr>
      </w:pPr>
      <w:bookmarkStart w:id="4" w:name="PE"/>
      <w:r w:rsidRPr="007451ED">
        <w:rPr>
          <w:vanish/>
        </w:rPr>
        <w:t>PE774.316</w:t>
      </w:r>
      <w:bookmarkEnd w:id="4"/>
    </w:p>
    <w:p w14:paraId="68A46C11" w14:textId="77777777" w:rsidR="00776032" w:rsidRPr="007451ED" w:rsidRDefault="00776032" w:rsidP="00776032">
      <w:pPr>
        <w:pStyle w:val="ATHeading3"/>
      </w:pPr>
      <w:bookmarkStart w:id="5" w:name="Sujet"/>
      <w:r w:rsidRPr="007451ED">
        <w:t>Resolución legislativa del Parlamento Europeo, de 10 de febrero de 2026, sobre la propuesta de Reglamento del Parlamento Europeo y del Consejo por el que se modifican los Reglamentos (UE) n.º 1308/2013, (UE) 2021/2115 y (UE) n.º 251/2014 en lo que respecta a determinadas normas de comercialización y medidas de apoyo sectorial en el sector vitivinícola y a los productos vitivinícolas aromatizados</w:t>
      </w:r>
      <w:bookmarkEnd w:id="5"/>
      <w:r w:rsidRPr="007451ED">
        <w:t xml:space="preserve"> </w:t>
      </w:r>
      <w:bookmarkStart w:id="6" w:name="References"/>
      <w:r w:rsidRPr="007451ED">
        <w:t>(COM(2025)0137 – C10-0058/2025 – 2025/0071(COD))</w:t>
      </w:r>
      <w:bookmarkEnd w:id="6"/>
    </w:p>
    <w:p w14:paraId="7805166C" w14:textId="77777777" w:rsidR="002D5922" w:rsidRPr="007451ED" w:rsidRDefault="002D5922" w:rsidP="002D5922">
      <w:pPr>
        <w:pStyle w:val="NormalBold"/>
      </w:pPr>
      <w:r w:rsidRPr="007451ED">
        <w:t>(Procedimiento legislativo ordinario: primera lectura)</w:t>
      </w:r>
    </w:p>
    <w:p w14:paraId="763A23EB" w14:textId="77777777" w:rsidR="002D5922" w:rsidRPr="007451ED" w:rsidRDefault="002D5922" w:rsidP="002D5922">
      <w:pPr>
        <w:pStyle w:val="EPComma"/>
      </w:pPr>
      <w:r w:rsidRPr="007451ED">
        <w:rPr>
          <w:i/>
        </w:rPr>
        <w:t>El Parlamento Europeo</w:t>
      </w:r>
      <w:r w:rsidRPr="007451ED">
        <w:t>,</w:t>
      </w:r>
    </w:p>
    <w:p w14:paraId="2F80E3C9" w14:textId="77777777" w:rsidR="002D5922" w:rsidRPr="007451ED" w:rsidRDefault="002D5922" w:rsidP="002D5922">
      <w:pPr>
        <w:pStyle w:val="NormalHanging12a"/>
      </w:pPr>
      <w:r w:rsidRPr="007451ED">
        <w:t>–</w:t>
      </w:r>
      <w:r w:rsidRPr="007451ED">
        <w:tab/>
        <w:t>Vista la propuesta de la Comisión al Parlamento Europeo y al Consejo (COM(2025)0137),</w:t>
      </w:r>
    </w:p>
    <w:p w14:paraId="7EAF61C5" w14:textId="77777777" w:rsidR="002D5922" w:rsidRPr="007451ED" w:rsidRDefault="002D5922" w:rsidP="002D5922">
      <w:pPr>
        <w:pStyle w:val="NormalHanging12a"/>
      </w:pPr>
      <w:r w:rsidRPr="007451ED">
        <w:t>–</w:t>
      </w:r>
      <w:r w:rsidRPr="007451ED">
        <w:tab/>
        <w:t>Vistos el artículo 294, apartado 2, el artículo 42, párrafo primero, y el artículo 43, apartado 2, del Tratado de Funcionamiento de la Unión Europea, conforme a los cuales la Comisión le ha presentado su propuesta (C10</w:t>
      </w:r>
      <w:r w:rsidRPr="007451ED">
        <w:noBreakHyphen/>
        <w:t>0058/2025),</w:t>
      </w:r>
    </w:p>
    <w:p w14:paraId="2946B4E9" w14:textId="77777777" w:rsidR="002D5922" w:rsidRPr="007451ED" w:rsidRDefault="002D5922" w:rsidP="002D5922">
      <w:pPr>
        <w:pStyle w:val="NormalHanging12a"/>
      </w:pPr>
      <w:r w:rsidRPr="007451ED">
        <w:t>–</w:t>
      </w:r>
      <w:r w:rsidRPr="007451ED">
        <w:tab/>
        <w:t>Visto el artículo 294, apartado 3, del Tratado de Funcionamiento de la Unión Europea,</w:t>
      </w:r>
    </w:p>
    <w:p w14:paraId="18970951" w14:textId="77777777" w:rsidR="002D5922" w:rsidRPr="007451ED" w:rsidRDefault="002D5922" w:rsidP="002D5922">
      <w:pPr>
        <w:pStyle w:val="NormalHanging12a"/>
      </w:pPr>
      <w:r w:rsidRPr="007451ED">
        <w:t>–</w:t>
      </w:r>
      <w:r w:rsidRPr="007451ED">
        <w:tab/>
        <w:t>Visto el dictamen del Comité Económico y Social Europeo, de 17 de julio de 2025</w:t>
      </w:r>
      <w:r w:rsidRPr="007451ED">
        <w:rPr>
          <w:rStyle w:val="FootnoteReference"/>
        </w:rPr>
        <w:footnoteReference w:id="1"/>
      </w:r>
      <w:r w:rsidRPr="007451ED">
        <w:t>,</w:t>
      </w:r>
    </w:p>
    <w:p w14:paraId="754D2484" w14:textId="068F6401" w:rsidR="002D5922" w:rsidRPr="007451ED" w:rsidRDefault="002D5922" w:rsidP="002D5922">
      <w:pPr>
        <w:pStyle w:val="NormalHanging12a"/>
      </w:pPr>
      <w:r w:rsidRPr="007451ED">
        <w:t>–</w:t>
      </w:r>
      <w:r w:rsidRPr="007451ED">
        <w:tab/>
        <w:t xml:space="preserve">Visto el dictamen del Comité de las Regiones, de </w:t>
      </w:r>
      <w:r w:rsidR="00684769" w:rsidRPr="007451ED">
        <w:t xml:space="preserve">2 </w:t>
      </w:r>
      <w:r w:rsidRPr="007451ED">
        <w:t>de julio de 2025</w:t>
      </w:r>
      <w:r w:rsidRPr="007451ED">
        <w:rPr>
          <w:rStyle w:val="FootnoteReference"/>
        </w:rPr>
        <w:footnoteReference w:id="2"/>
      </w:r>
      <w:r w:rsidRPr="007451ED">
        <w:t>,</w:t>
      </w:r>
    </w:p>
    <w:p w14:paraId="3CCDD587" w14:textId="54B2EC8E" w:rsidR="0067495D" w:rsidRPr="007451ED" w:rsidRDefault="00914D9C" w:rsidP="002D5922">
      <w:pPr>
        <w:pStyle w:val="NormalHanging12a"/>
      </w:pPr>
      <w:r w:rsidRPr="007451ED">
        <w:t>–</w:t>
      </w:r>
      <w:r w:rsidRPr="007451ED">
        <w:tab/>
        <w:t>Vistos el acuerdo provisional aprobado por la comisión competente con arreglo al artículo 75, apartado 4, de su Reglamento interno y el compromiso asumido por el representante del Consejo, mediante carta de 16 de diciembre de 2025, de aprobar la Posición del Parlamento Europeo, de conformidad con el artículo 294, apartado 4, del Tratado de Funcionamiento de la Unión Europea,</w:t>
      </w:r>
    </w:p>
    <w:p w14:paraId="2B7ECFB8" w14:textId="77777777" w:rsidR="002D5922" w:rsidRPr="007451ED" w:rsidRDefault="002D5922" w:rsidP="002D5922">
      <w:pPr>
        <w:pStyle w:val="NormalHanging12a"/>
      </w:pPr>
      <w:r w:rsidRPr="007451ED">
        <w:lastRenderedPageBreak/>
        <w:t>–</w:t>
      </w:r>
      <w:r w:rsidRPr="007451ED">
        <w:tab/>
        <w:t>Visto el artículo 60 de su Reglamento interno,</w:t>
      </w:r>
    </w:p>
    <w:p w14:paraId="3AF391BF" w14:textId="77777777" w:rsidR="002D5922" w:rsidRPr="007451ED" w:rsidRDefault="002D5922" w:rsidP="002D5922">
      <w:pPr>
        <w:pStyle w:val="NormalHanging12a"/>
      </w:pPr>
      <w:r w:rsidRPr="007451ED">
        <w:t>–</w:t>
      </w:r>
      <w:r w:rsidRPr="007451ED">
        <w:tab/>
        <w:t>Visto el informe de la Comisión de Agricultura y Desarrollo Rural (A10-0220/2025),</w:t>
      </w:r>
    </w:p>
    <w:p w14:paraId="2D2B264D" w14:textId="77777777" w:rsidR="002D5922" w:rsidRPr="007451ED" w:rsidRDefault="002D5922" w:rsidP="002D5922">
      <w:pPr>
        <w:pStyle w:val="NormalHanging12a"/>
      </w:pPr>
      <w:r w:rsidRPr="007451ED">
        <w:t>1.</w:t>
      </w:r>
      <w:r w:rsidRPr="007451ED">
        <w:tab/>
        <w:t>Aprueba la Posición en primera lectura que figura a continuación;</w:t>
      </w:r>
    </w:p>
    <w:p w14:paraId="06A8C2F4" w14:textId="3A82C28D" w:rsidR="00914D9C" w:rsidRPr="007451ED" w:rsidRDefault="00914D9C" w:rsidP="002D5922">
      <w:pPr>
        <w:pStyle w:val="NormalHanging12a"/>
      </w:pPr>
      <w:r w:rsidRPr="007451ED">
        <w:t>2.</w:t>
      </w:r>
      <w:r w:rsidRPr="007451ED">
        <w:tab/>
        <w:t xml:space="preserve">Toma nota de la declaración de la Comisión adjunta a la presente Resolución que se publicará en la serie C del </w:t>
      </w:r>
      <w:r w:rsidRPr="007451ED">
        <w:rPr>
          <w:i/>
        </w:rPr>
        <w:t>Diario Oficial de la Unión Europea;</w:t>
      </w:r>
    </w:p>
    <w:p w14:paraId="6B69309C" w14:textId="45FC20BA" w:rsidR="002D5922" w:rsidRPr="007451ED" w:rsidRDefault="00914D9C" w:rsidP="002D5922">
      <w:pPr>
        <w:pStyle w:val="NormalHanging12a"/>
      </w:pPr>
      <w:r w:rsidRPr="007451ED">
        <w:t>3</w:t>
      </w:r>
      <w:r w:rsidR="002D5922" w:rsidRPr="007451ED">
        <w:t>.</w:t>
      </w:r>
      <w:r w:rsidR="002D5922" w:rsidRPr="007451ED">
        <w:tab/>
        <w:t>Pide a la Comisión que le consulte de nuevo si sustituye su propuesta, la modifica sustancialmente o se propone modificarla sustancialmente;</w:t>
      </w:r>
    </w:p>
    <w:p w14:paraId="5BA4870B" w14:textId="74805968" w:rsidR="00DC5892" w:rsidRPr="007451ED" w:rsidRDefault="00914D9C" w:rsidP="002D5922">
      <w:pPr>
        <w:pStyle w:val="NormalHanging12a"/>
        <w:sectPr w:rsidR="00DC5892" w:rsidRPr="007451ED" w:rsidSect="00CD17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7451ED">
        <w:t>4</w:t>
      </w:r>
      <w:r w:rsidR="002D5922" w:rsidRPr="007451ED">
        <w:t>.</w:t>
      </w:r>
      <w:r w:rsidR="002D5922" w:rsidRPr="007451ED">
        <w:tab/>
        <w:t>Encarga a su presidenta que transmita la Posición del Parlamento al Consejo y a la Comisión, así como a los Parlamentos nacionales.</w:t>
      </w:r>
    </w:p>
    <w:p w14:paraId="337F1409" w14:textId="77777777" w:rsidR="00DC5892" w:rsidRPr="007451ED" w:rsidRDefault="00DC5892" w:rsidP="00DC5892">
      <w:pPr>
        <w:autoSpaceDE w:val="0"/>
        <w:autoSpaceDN w:val="0"/>
        <w:adjustRightInd w:val="0"/>
        <w:spacing w:after="240"/>
        <w:rPr>
          <w:b/>
          <w:bCs/>
          <w:color w:val="000000"/>
        </w:rPr>
      </w:pPr>
      <w:r w:rsidRPr="007451ED">
        <w:rPr>
          <w:b/>
          <w:bCs/>
          <w:color w:val="000000"/>
        </w:rPr>
        <w:lastRenderedPageBreak/>
        <w:t>P10_TC1-COD(2025)0071</w:t>
      </w:r>
    </w:p>
    <w:p w14:paraId="5CBBDA90" w14:textId="58420EF2" w:rsidR="00DC5892" w:rsidRPr="00EC4DC5" w:rsidRDefault="00DC5892" w:rsidP="002F7425">
      <w:pPr>
        <w:widowControl/>
        <w:spacing w:before="360" w:after="360"/>
        <w:rPr>
          <w:rFonts w:eastAsia="Calibri"/>
          <w:b/>
          <w:iCs/>
          <w:szCs w:val="22"/>
          <w:lang w:eastAsia="en-US"/>
        </w:rPr>
      </w:pPr>
      <w:r w:rsidRPr="007451ED">
        <w:rPr>
          <w:b/>
        </w:rPr>
        <w:t xml:space="preserve">Posición del Parlamento Europeo aprobada en primera lectura el </w:t>
      </w:r>
      <w:r w:rsidR="00B0109F" w:rsidRPr="007451ED">
        <w:rPr>
          <w:b/>
        </w:rPr>
        <w:t xml:space="preserve">10 </w:t>
      </w:r>
      <w:r w:rsidRPr="007451ED">
        <w:rPr>
          <w:b/>
        </w:rPr>
        <w:t xml:space="preserve">de </w:t>
      </w:r>
      <w:r w:rsidR="00B0109F" w:rsidRPr="007451ED">
        <w:rPr>
          <w:b/>
        </w:rPr>
        <w:t xml:space="preserve">febrero </w:t>
      </w:r>
      <w:r w:rsidRPr="007451ED">
        <w:rPr>
          <w:b/>
        </w:rPr>
        <w:t xml:space="preserve">de </w:t>
      </w:r>
      <w:r w:rsidR="00B0109F" w:rsidRPr="007451ED">
        <w:rPr>
          <w:b/>
        </w:rPr>
        <w:t xml:space="preserve">2026 </w:t>
      </w:r>
      <w:r w:rsidRPr="007451ED">
        <w:rPr>
          <w:b/>
        </w:rPr>
        <w:t xml:space="preserve">con vistas a la adopción del </w:t>
      </w:r>
      <w:r w:rsidR="00B0109F" w:rsidRPr="007451ED">
        <w:rPr>
          <w:b/>
        </w:rPr>
        <w:t xml:space="preserve">Reglamento </w:t>
      </w:r>
      <w:r w:rsidRPr="007451ED">
        <w:rPr>
          <w:b/>
        </w:rPr>
        <w:t xml:space="preserve">(UE) </w:t>
      </w:r>
      <w:r w:rsidR="00B0109F" w:rsidRPr="007451ED">
        <w:rPr>
          <w:b/>
        </w:rPr>
        <w:t>2026</w:t>
      </w:r>
      <w:r w:rsidRPr="007451ED">
        <w:rPr>
          <w:b/>
        </w:rPr>
        <w:t xml:space="preserve">/... del Parlamento Europeo y del Consejo </w:t>
      </w:r>
      <w:r w:rsidRPr="007451ED">
        <w:rPr>
          <w:rFonts w:eastAsia="Aptos"/>
          <w:b/>
          <w:kern w:val="2"/>
          <w:szCs w:val="24"/>
          <w:lang w:eastAsia="en-US"/>
          <w14:ligatures w14:val="standardContextual"/>
        </w:rPr>
        <w:t>por el que se modifican los Reglamentos (UE) n.º 1308/2013, (UE) n.º 251/2014 y (UE) 2021/2115 en lo que respecta a determinadas normas de comercialización y medidas de apoyo sectorial en el sector vitivinícola y a los productos vitivinícolas aromatizados</w:t>
      </w:r>
      <w:r w:rsidRPr="00EC4DC5">
        <w:rPr>
          <w:rFonts w:eastAsia="Aptos"/>
          <w:b/>
          <w:iCs/>
          <w:kern w:val="2"/>
          <w:szCs w:val="24"/>
          <w:lang w:eastAsia="en-US"/>
          <w14:ligatures w14:val="standardContextual"/>
        </w:rPr>
        <w:t>, y el Reglamento (UE) 2024/1143 en lo que respecta a determinadas normas de etiquetado de bebidas espirituosas</w:t>
      </w:r>
    </w:p>
    <w:p w14:paraId="6C691035" w14:textId="66FD8EE9" w:rsidR="00EC4DC5" w:rsidRDefault="00EC4DC5" w:rsidP="00EC4DC5">
      <w:pPr>
        <w:pStyle w:val="normal12hanging0"/>
        <w:spacing w:before="240" w:beforeAutospacing="0" w:after="240" w:afterAutospacing="0"/>
        <w:ind w:firstLine="6"/>
        <w:rPr>
          <w:i/>
          <w:lang w:val="es-ES_tradnl"/>
        </w:rPr>
      </w:pPr>
      <w:r>
        <w:rPr>
          <w:i/>
          <w:lang w:val="es-ES_tradnl"/>
        </w:rPr>
        <w:t xml:space="preserve">(Dado que el Parlamento Europeo y el Consejo llegaron a un acuerdo, la posición del Parlamento coincide con el texto del acto legislativo definitivo, </w:t>
      </w:r>
      <w:r w:rsidRPr="00EC4DC5">
        <w:rPr>
          <w:i/>
          <w:lang w:val="es-ES_tradnl"/>
        </w:rPr>
        <w:t>el Reglamento (UE) 2026/471.</w:t>
      </w:r>
      <w:r>
        <w:rPr>
          <w:i/>
          <w:lang w:val="es-ES_tradnl"/>
        </w:rPr>
        <w:t>)</w:t>
      </w:r>
    </w:p>
    <w:p w14:paraId="0D2B9802" w14:textId="77777777" w:rsidR="00EA5D87" w:rsidRDefault="00EA5D87">
      <w:pPr>
        <w:widowControl/>
        <w:rPr>
          <w:i/>
        </w:rPr>
        <w:sectPr w:rsidR="00EA5D87" w:rsidSect="00CD179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36A9BF" w14:textId="3F550F1F" w:rsidR="00DC5892" w:rsidRPr="007451ED" w:rsidRDefault="00DC5892" w:rsidP="002F7425">
      <w:pPr>
        <w:pStyle w:val="NormalHanging12a"/>
        <w:widowControl/>
        <w:spacing w:line="360" w:lineRule="auto"/>
        <w:jc w:val="right"/>
        <w:rPr>
          <w:u w:val="single"/>
        </w:rPr>
      </w:pPr>
      <w:r w:rsidRPr="007451ED">
        <w:rPr>
          <w:u w:val="single"/>
        </w:rPr>
        <w:lastRenderedPageBreak/>
        <w:t>ANEXO A LA RESOLUCIÓN LEGISLATIVA</w:t>
      </w:r>
    </w:p>
    <w:p w14:paraId="0175AE1A" w14:textId="763E3A29" w:rsidR="00DC5892" w:rsidRPr="007451ED" w:rsidRDefault="00DC5892" w:rsidP="002F7425">
      <w:pPr>
        <w:spacing w:before="360" w:after="360" w:line="360" w:lineRule="auto"/>
        <w:jc w:val="center"/>
        <w:rPr>
          <w:rFonts w:eastAsia="Calibri"/>
          <w:b/>
          <w:szCs w:val="22"/>
        </w:rPr>
      </w:pPr>
      <w:r w:rsidRPr="007451ED">
        <w:rPr>
          <w:iCs/>
        </w:rPr>
        <w:t xml:space="preserve">Declaración de la Comisión con ocasión de la </w:t>
      </w:r>
      <w:r w:rsidRPr="007451ED">
        <w:rPr>
          <w:rFonts w:eastAsia="Aptos"/>
          <w:iCs/>
          <w:kern w:val="2"/>
          <w:szCs w:val="24"/>
          <w:lang w:eastAsia="en-US"/>
          <w14:ligatures w14:val="standardContextual"/>
        </w:rPr>
        <w:t>adopción del Reglamento (EU) 2026/</w:t>
      </w:r>
      <w:r w:rsidR="00473580">
        <w:rPr>
          <w:rFonts w:eastAsia="Aptos"/>
          <w:iCs/>
          <w:kern w:val="2"/>
          <w:szCs w:val="24"/>
          <w:lang w:eastAsia="en-US"/>
          <w14:ligatures w14:val="standardContextual"/>
        </w:rPr>
        <w:t>471</w:t>
      </w:r>
      <w:r w:rsidRPr="007451ED">
        <w:rPr>
          <w:rFonts w:eastAsia="Aptos"/>
          <w:iCs/>
          <w:kern w:val="2"/>
          <w:szCs w:val="24"/>
          <w:lang w:eastAsia="en-US"/>
          <w14:ligatures w14:val="standardContextual"/>
        </w:rPr>
        <w:t xml:space="preserve"> del Parlamento Europeo y del Consejo de </w:t>
      </w:r>
      <w:r w:rsidR="00EC4DC5">
        <w:rPr>
          <w:rFonts w:eastAsia="Aptos"/>
          <w:iCs/>
          <w:kern w:val="2"/>
          <w:szCs w:val="24"/>
          <w:lang w:eastAsia="en-US"/>
          <w14:ligatures w14:val="standardContextual"/>
        </w:rPr>
        <w:t>24 de febrero de</w:t>
      </w:r>
      <w:r w:rsidRPr="007451ED">
        <w:rPr>
          <w:rFonts w:eastAsia="Aptos"/>
          <w:iCs/>
          <w:kern w:val="2"/>
          <w:szCs w:val="24"/>
          <w:lang w:eastAsia="en-US"/>
          <w14:ligatures w14:val="standardContextual"/>
        </w:rPr>
        <w:t xml:space="preserve"> 2026</w:t>
      </w:r>
      <w:r w:rsidR="00EC4DC5">
        <w:rPr>
          <w:rStyle w:val="FootnoteReference"/>
          <w:rFonts w:eastAsia="Aptos"/>
          <w:iCs/>
          <w:kern w:val="2"/>
          <w:szCs w:val="24"/>
          <w:lang w:eastAsia="en-US"/>
          <w14:ligatures w14:val="standardContextual"/>
        </w:rPr>
        <w:footnoteReference w:id="3"/>
      </w:r>
      <w:r w:rsidRPr="007451ED">
        <w:rPr>
          <w:rFonts w:eastAsia="Aptos"/>
          <w:iCs/>
          <w:kern w:val="2"/>
          <w:szCs w:val="24"/>
          <w:lang w:eastAsia="en-US"/>
          <w14:ligatures w14:val="standardContextual"/>
        </w:rPr>
        <w:t xml:space="preserve"> </w:t>
      </w:r>
      <w:r w:rsidRPr="007451ED">
        <w:rPr>
          <w:iCs/>
        </w:rPr>
        <w:t>por el que se modifican los Reglamentos (UE) n.º 1308/2013, (UE) n.º 251/2014 y (UE) 2021/2115 en lo que respecta a determinadas normas de comercialización y medidas de apoyo sectorial en el sector vitivinícola y a los productos vitivinícolas aromatizados, y el Reglamento (UE) 2024/1143 en lo que respecta a determinadas normas de etiquetado de bebidas espirituosas</w:t>
      </w:r>
    </w:p>
    <w:p w14:paraId="1AA4C1A9" w14:textId="77777777" w:rsidR="00DC5892" w:rsidRPr="007451ED" w:rsidRDefault="00DC5892" w:rsidP="002F7425">
      <w:pPr>
        <w:spacing w:line="360" w:lineRule="auto"/>
        <w:rPr>
          <w:iCs/>
        </w:rPr>
      </w:pPr>
      <w:r w:rsidRPr="007451ED">
        <w:rPr>
          <w:iCs/>
        </w:rPr>
        <w:t xml:space="preserve">La Comisión hará cuanto esté en su mano por presentar en 2026 al grupo de expertos o comité pertinente: </w:t>
      </w:r>
    </w:p>
    <w:p w14:paraId="3DA63C4C" w14:textId="77777777" w:rsidR="00DC5892" w:rsidRPr="007451ED" w:rsidRDefault="00DC5892" w:rsidP="002F7425">
      <w:pPr>
        <w:spacing w:line="360" w:lineRule="auto"/>
        <w:rPr>
          <w:iCs/>
        </w:rPr>
      </w:pPr>
    </w:p>
    <w:p w14:paraId="2D641507" w14:textId="0B271ACC" w:rsidR="00DC5892" w:rsidRPr="007451ED" w:rsidRDefault="00DC5892" w:rsidP="002F7425">
      <w:pPr>
        <w:widowControl/>
        <w:spacing w:after="160" w:line="360" w:lineRule="auto"/>
        <w:ind w:left="851" w:hanging="851"/>
        <w:rPr>
          <w:iCs/>
        </w:rPr>
      </w:pPr>
      <w:r w:rsidRPr="007451ED">
        <w:rPr>
          <w:iCs/>
        </w:rPr>
        <w:t>1)</w:t>
      </w:r>
      <w:r w:rsidRPr="007451ED">
        <w:rPr>
          <w:iCs/>
        </w:rPr>
        <w:tab/>
        <w:t xml:space="preserve">un proyecto de acto de ejecución por el que se modifique el Reglamento (UE) 2018/274 en lo que respecta a la posibilidad de ampliar la aplicación del </w:t>
      </w:r>
      <w:r w:rsidRPr="007451ED">
        <w:rPr>
          <w:b/>
          <w:bCs/>
          <w:iCs/>
        </w:rPr>
        <w:t>procedimiento simplificado de concesión de autorizaciones para replantaciones</w:t>
      </w:r>
      <w:r w:rsidRPr="007451ED">
        <w:rPr>
          <w:iCs/>
        </w:rPr>
        <w:t xml:space="preserve"> establecido en el artículo 9 de dicho Reglamento;</w:t>
      </w:r>
    </w:p>
    <w:p w14:paraId="73876E6E" w14:textId="6A9FAFC5" w:rsidR="00DC5892" w:rsidRPr="007451ED" w:rsidRDefault="00DC5892" w:rsidP="002F7425">
      <w:pPr>
        <w:widowControl/>
        <w:spacing w:after="160" w:line="360" w:lineRule="auto"/>
        <w:ind w:left="851" w:hanging="851"/>
        <w:rPr>
          <w:iCs/>
        </w:rPr>
      </w:pPr>
      <w:r w:rsidRPr="007451ED">
        <w:rPr>
          <w:iCs/>
        </w:rPr>
        <w:t>2)</w:t>
      </w:r>
      <w:r w:rsidRPr="007451ED">
        <w:rPr>
          <w:iCs/>
        </w:rPr>
        <w:tab/>
        <w:t xml:space="preserve">un proyecto de modificación del Reglamento Delegado (UE) 2019/33 de la Comisión para definir el sistema de identificación de la Unión por los </w:t>
      </w:r>
      <w:r w:rsidRPr="007451ED">
        <w:rPr>
          <w:b/>
          <w:bCs/>
          <w:iCs/>
        </w:rPr>
        <w:t>medios electrónicos</w:t>
      </w:r>
      <w:r w:rsidRPr="007451ED">
        <w:rPr>
          <w:iCs/>
        </w:rPr>
        <w:t xml:space="preserve"> indicados en el envase o la etiqueta de los productos vitivinícolas a que se refiere el artículo 119, apartados 4 y 5, del Reglamento (UE) n.º 1308/2013;</w:t>
      </w:r>
    </w:p>
    <w:p w14:paraId="2DA45757" w14:textId="1C8D0FB1" w:rsidR="00DC5892" w:rsidRPr="007451ED" w:rsidRDefault="00DC5892" w:rsidP="002F7425">
      <w:pPr>
        <w:widowControl/>
        <w:spacing w:after="160" w:line="360" w:lineRule="auto"/>
        <w:ind w:left="851" w:hanging="851"/>
        <w:rPr>
          <w:iCs/>
        </w:rPr>
      </w:pPr>
      <w:r w:rsidRPr="007451ED">
        <w:rPr>
          <w:iCs/>
        </w:rPr>
        <w:t>3)</w:t>
      </w:r>
      <w:r w:rsidRPr="007451ED">
        <w:rPr>
          <w:iCs/>
        </w:rPr>
        <w:tab/>
        <w:t xml:space="preserve">un proyecto de modificación del Reglamento </w:t>
      </w:r>
      <w:proofErr w:type="gramStart"/>
      <w:r w:rsidRPr="007451ED">
        <w:rPr>
          <w:iCs/>
        </w:rPr>
        <w:t>Delegado</w:t>
      </w:r>
      <w:proofErr w:type="gramEnd"/>
      <w:r w:rsidRPr="007451ED">
        <w:rPr>
          <w:iCs/>
        </w:rPr>
        <w:t xml:space="preserve"> (UE) 2019/934 de la Comisión para incluir en la </w:t>
      </w:r>
      <w:r w:rsidRPr="007451ED">
        <w:rPr>
          <w:b/>
          <w:bCs/>
          <w:iCs/>
        </w:rPr>
        <w:t xml:space="preserve">definición de </w:t>
      </w:r>
      <w:r w:rsidRPr="007451ED">
        <w:rPr>
          <w:b/>
          <w:bCs/>
        </w:rPr>
        <w:t>«</w:t>
      </w:r>
      <w:r w:rsidRPr="007451ED">
        <w:rPr>
          <w:b/>
          <w:bCs/>
          <w:iCs/>
        </w:rPr>
        <w:t>mezcla»</w:t>
      </w:r>
      <w:r w:rsidRPr="007451ED">
        <w:rPr>
          <w:iCs/>
        </w:rPr>
        <w:t xml:space="preserve"> la posibilidad de combinar vinos desalcoholizados o parcialmente desalcoholizados con vinos tranquilos a fin de producir vinos parcialmente desalcoholizados;</w:t>
      </w:r>
    </w:p>
    <w:p w14:paraId="4772D851" w14:textId="63F58AC3" w:rsidR="00DC5892" w:rsidRPr="002F7425" w:rsidRDefault="00DC5892" w:rsidP="002F7425">
      <w:pPr>
        <w:widowControl/>
        <w:tabs>
          <w:tab w:val="left" w:pos="5669"/>
        </w:tabs>
        <w:spacing w:line="360" w:lineRule="auto"/>
        <w:ind w:left="851" w:hanging="851"/>
      </w:pPr>
      <w:r w:rsidRPr="007451ED">
        <w:rPr>
          <w:iCs/>
        </w:rPr>
        <w:t>4)</w:t>
      </w:r>
      <w:r w:rsidRPr="007451ED">
        <w:rPr>
          <w:iCs/>
        </w:rPr>
        <w:tab/>
        <w:t xml:space="preserve">un proyecto de acto delegado que establezca las condiciones para el </w:t>
      </w:r>
      <w:r w:rsidRPr="007451ED">
        <w:rPr>
          <w:b/>
          <w:bCs/>
          <w:iCs/>
        </w:rPr>
        <w:t>arranque de viñedos abandonados</w:t>
      </w:r>
      <w:r w:rsidRPr="007451ED">
        <w:rPr>
          <w:iCs/>
        </w:rPr>
        <w:t xml:space="preserve"> a que se refiere el nuevo artículo 62, apartado 6, del Reglamento (UE) n.º 1308/2013.</w:t>
      </w:r>
    </w:p>
    <w:p w14:paraId="03BFF844" w14:textId="416859CE" w:rsidR="00E365E1" w:rsidRPr="002F7425" w:rsidRDefault="00E365E1" w:rsidP="002F7425">
      <w:pPr>
        <w:pStyle w:val="NormalHanging12a"/>
        <w:ind w:left="0" w:firstLine="0"/>
      </w:pPr>
    </w:p>
    <w:sectPr w:rsidR="00E365E1" w:rsidRPr="002F7425" w:rsidSect="00CD17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83BA2" w14:textId="77777777" w:rsidR="00776032" w:rsidRPr="00CD1799" w:rsidRDefault="00776032">
      <w:r w:rsidRPr="00CD1799">
        <w:separator/>
      </w:r>
    </w:p>
  </w:endnote>
  <w:endnote w:type="continuationSeparator" w:id="0">
    <w:p w14:paraId="40C10CC9" w14:textId="77777777" w:rsidR="00776032" w:rsidRPr="00CD1799" w:rsidRDefault="00776032">
      <w:r w:rsidRPr="00CD17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2100" w14:textId="77777777" w:rsidR="00064002" w:rsidRPr="00CD179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6786" w14:textId="77777777" w:rsidR="00064002" w:rsidRPr="00CD179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DCBE6" w14:textId="77777777" w:rsidR="00064002" w:rsidRPr="00CD17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B945D" w14:textId="77777777" w:rsidR="00776032" w:rsidRPr="00CD1799" w:rsidRDefault="00776032">
      <w:r w:rsidRPr="00CD1799">
        <w:separator/>
      </w:r>
    </w:p>
  </w:footnote>
  <w:footnote w:type="continuationSeparator" w:id="0">
    <w:p w14:paraId="23915BD2" w14:textId="77777777" w:rsidR="00776032" w:rsidRPr="00CD1799" w:rsidRDefault="00776032">
      <w:r w:rsidRPr="00CD1799">
        <w:continuationSeparator/>
      </w:r>
    </w:p>
  </w:footnote>
  <w:footnote w:id="1">
    <w:p w14:paraId="12D1257B" w14:textId="315E6DC0" w:rsidR="002D5922" w:rsidRPr="007451ED" w:rsidRDefault="002D5922" w:rsidP="00CD1799">
      <w:pPr>
        <w:pStyle w:val="FootnoteText"/>
        <w:ind w:left="567" w:hanging="567"/>
        <w:rPr>
          <w:sz w:val="24"/>
          <w:lang w:val="pt-PT"/>
        </w:rPr>
      </w:pPr>
      <w:r w:rsidRPr="007451ED">
        <w:rPr>
          <w:rStyle w:val="FootnoteReference"/>
          <w:sz w:val="24"/>
          <w:lang w:val="es-ES_tradnl"/>
        </w:rPr>
        <w:footnoteRef/>
      </w:r>
      <w:r w:rsidR="00CD1799" w:rsidRPr="007451ED">
        <w:rPr>
          <w:sz w:val="24"/>
          <w:lang w:val="pt-PT"/>
        </w:rPr>
        <w:t xml:space="preserve"> </w:t>
      </w:r>
      <w:r w:rsidR="00CD1799" w:rsidRPr="007451ED">
        <w:rPr>
          <w:sz w:val="24"/>
          <w:lang w:val="pt-PT"/>
        </w:rPr>
        <w:tab/>
      </w:r>
      <w:r w:rsidR="00684769" w:rsidRPr="007451ED">
        <w:rPr>
          <w:sz w:val="24"/>
          <w:lang w:val="pt-PT"/>
        </w:rPr>
        <w:t>DO C, C/2025/5161, 28.10.2025, ELI:</w:t>
      </w:r>
      <w:r w:rsidR="00F41C79" w:rsidRPr="007451ED">
        <w:rPr>
          <w:sz w:val="24"/>
          <w:lang w:val="pt-PT"/>
        </w:rPr>
        <w:t> </w:t>
      </w:r>
      <w:hyperlink r:id="rId1" w:history="1">
        <w:r w:rsidR="00DF4B9C" w:rsidRPr="007451ED">
          <w:rPr>
            <w:rStyle w:val="Hyperlink"/>
            <w:sz w:val="24"/>
            <w:lang w:val="pt-PT"/>
          </w:rPr>
          <w:t>http://data.europa.eu/eli/C/2025/5161/oj</w:t>
        </w:r>
      </w:hyperlink>
      <w:r w:rsidRPr="007451ED">
        <w:rPr>
          <w:sz w:val="24"/>
          <w:lang w:val="pt-PT"/>
        </w:rPr>
        <w:t>.</w:t>
      </w:r>
    </w:p>
  </w:footnote>
  <w:footnote w:id="2">
    <w:p w14:paraId="7C97AA16" w14:textId="483B3209" w:rsidR="002D5922" w:rsidRPr="007451ED" w:rsidRDefault="002D5922" w:rsidP="00CD1799">
      <w:pPr>
        <w:pStyle w:val="FootnoteText"/>
        <w:ind w:left="567" w:hanging="567"/>
        <w:rPr>
          <w:sz w:val="24"/>
          <w:szCs w:val="24"/>
          <w:lang w:val="pt-PT"/>
        </w:rPr>
      </w:pPr>
      <w:r w:rsidRPr="007451ED">
        <w:rPr>
          <w:rStyle w:val="FootnoteReference"/>
          <w:sz w:val="24"/>
          <w:lang w:val="es-ES_tradnl"/>
        </w:rPr>
        <w:footnoteRef/>
      </w:r>
      <w:r w:rsidR="00CD1799" w:rsidRPr="007451ED">
        <w:rPr>
          <w:sz w:val="24"/>
          <w:lang w:val="pt-PT"/>
        </w:rPr>
        <w:t xml:space="preserve"> </w:t>
      </w:r>
      <w:r w:rsidR="00CD1799" w:rsidRPr="007451ED">
        <w:rPr>
          <w:sz w:val="24"/>
          <w:lang w:val="pt-PT"/>
        </w:rPr>
        <w:tab/>
      </w:r>
      <w:r w:rsidR="00684769" w:rsidRPr="007451ED">
        <w:rPr>
          <w:sz w:val="24"/>
          <w:lang w:val="pt-PT"/>
        </w:rPr>
        <w:t>DO C, C/2025/4418, 29.8.2025, ELI:</w:t>
      </w:r>
      <w:r w:rsidR="00F41C79" w:rsidRPr="007451ED">
        <w:rPr>
          <w:sz w:val="24"/>
          <w:lang w:val="pt-PT"/>
        </w:rPr>
        <w:t> </w:t>
      </w:r>
      <w:hyperlink r:id="rId2" w:history="1">
        <w:r w:rsidR="00DF4B9C" w:rsidRPr="007451ED">
          <w:rPr>
            <w:rStyle w:val="Hyperlink"/>
            <w:sz w:val="24"/>
            <w:lang w:val="pt-PT"/>
          </w:rPr>
          <w:t>http://data.europa.eu/eli/C/2025/4418/oj</w:t>
        </w:r>
      </w:hyperlink>
      <w:r w:rsidRPr="007451ED">
        <w:rPr>
          <w:sz w:val="24"/>
          <w:lang w:val="pt-PT"/>
        </w:rPr>
        <w:t>.</w:t>
      </w:r>
    </w:p>
  </w:footnote>
  <w:footnote w:id="3">
    <w:p w14:paraId="4CCC77C0" w14:textId="0857BDB3" w:rsidR="00EC4DC5" w:rsidRPr="00EC4DC5" w:rsidRDefault="00EC4DC5" w:rsidP="00DC5892">
      <w:pPr>
        <w:pStyle w:val="FootnoteText"/>
        <w:ind w:left="709" w:hanging="709"/>
        <w:rPr>
          <w:lang w:val="pt-PT"/>
        </w:rPr>
      </w:pPr>
      <w:r>
        <w:rPr>
          <w:rStyle w:val="FootnoteReference"/>
        </w:rPr>
        <w:footnoteRef/>
      </w:r>
      <w:r w:rsidRPr="00EC4DC5">
        <w:rPr>
          <w:lang w:val="pt-PT"/>
        </w:rPr>
        <w:t xml:space="preserve"> </w:t>
      </w:r>
      <w:r w:rsidRPr="00EC4DC5">
        <w:rPr>
          <w:lang w:val="pt-PT"/>
        </w:rPr>
        <w:tab/>
      </w:r>
      <w:r w:rsidRPr="00EC4DC5">
        <w:rPr>
          <w:sz w:val="24"/>
          <w:szCs w:val="24"/>
          <w:lang w:val="pt-PT"/>
        </w:rPr>
        <w:t xml:space="preserve">DO L, 2026/471, 26.2.2026, ELI: </w:t>
      </w:r>
      <w:hyperlink r:id="rId3" w:history="1">
        <w:r w:rsidRPr="00EC4DC5">
          <w:rPr>
            <w:rStyle w:val="Hyperlink"/>
            <w:sz w:val="24"/>
            <w:szCs w:val="24"/>
            <w:lang w:val="pt-PT"/>
          </w:rPr>
          <w:t>http://data.europa.eu/eli/reg/2026/471/oj</w:t>
        </w:r>
      </w:hyperlink>
      <w:r w:rsidRPr="00EC4DC5">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EF38" w14:textId="77777777" w:rsidR="00064002" w:rsidRPr="00CD17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14F2E" w14:textId="77777777" w:rsidR="00064002" w:rsidRPr="00CD17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D2262" w14:textId="77777777" w:rsidR="00064002" w:rsidRPr="00CD17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47D7F45"/>
    <w:multiLevelType w:val="hybridMultilevel"/>
    <w:tmpl w:val="A866019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1493376619">
    <w:abstractNumId w:val="9"/>
  </w:num>
  <w:num w:numId="2" w16cid:durableId="1686900942">
    <w:abstractNumId w:val="9"/>
  </w:num>
  <w:num w:numId="3" w16cid:durableId="893782085">
    <w:abstractNumId w:val="7"/>
  </w:num>
  <w:num w:numId="4" w16cid:durableId="1986811072">
    <w:abstractNumId w:val="7"/>
  </w:num>
  <w:num w:numId="5" w16cid:durableId="1535385784">
    <w:abstractNumId w:val="6"/>
  </w:num>
  <w:num w:numId="6" w16cid:durableId="73472538">
    <w:abstractNumId w:val="6"/>
  </w:num>
  <w:num w:numId="7" w16cid:durableId="1918436927">
    <w:abstractNumId w:val="5"/>
  </w:num>
  <w:num w:numId="8" w16cid:durableId="75055973">
    <w:abstractNumId w:val="5"/>
  </w:num>
  <w:num w:numId="9" w16cid:durableId="1934774716">
    <w:abstractNumId w:val="4"/>
  </w:num>
  <w:num w:numId="10" w16cid:durableId="475225597">
    <w:abstractNumId w:val="4"/>
  </w:num>
  <w:num w:numId="11" w16cid:durableId="589395018">
    <w:abstractNumId w:val="8"/>
  </w:num>
  <w:num w:numId="12" w16cid:durableId="1037201410">
    <w:abstractNumId w:val="8"/>
  </w:num>
  <w:num w:numId="13" w16cid:durableId="1188760621">
    <w:abstractNumId w:val="3"/>
  </w:num>
  <w:num w:numId="14" w16cid:durableId="57553091">
    <w:abstractNumId w:val="3"/>
  </w:num>
  <w:num w:numId="15" w16cid:durableId="1831286706">
    <w:abstractNumId w:val="2"/>
  </w:num>
  <w:num w:numId="16" w16cid:durableId="553853433">
    <w:abstractNumId w:val="2"/>
  </w:num>
  <w:num w:numId="17" w16cid:durableId="517042312">
    <w:abstractNumId w:val="1"/>
  </w:num>
  <w:num w:numId="18" w16cid:durableId="1992711014">
    <w:abstractNumId w:val="1"/>
  </w:num>
  <w:num w:numId="19" w16cid:durableId="91827349">
    <w:abstractNumId w:val="0"/>
  </w:num>
  <w:num w:numId="20" w16cid:durableId="864682010">
    <w:abstractNumId w:val="0"/>
  </w:num>
  <w:num w:numId="21" w16cid:durableId="1817645006">
    <w:abstractNumId w:val="9"/>
  </w:num>
  <w:num w:numId="22" w16cid:durableId="1075468199">
    <w:abstractNumId w:val="7"/>
  </w:num>
  <w:num w:numId="23" w16cid:durableId="1870532021">
    <w:abstractNumId w:val="6"/>
  </w:num>
  <w:num w:numId="24" w16cid:durableId="1918904124">
    <w:abstractNumId w:val="5"/>
  </w:num>
  <w:num w:numId="25" w16cid:durableId="1355183615">
    <w:abstractNumId w:val="4"/>
  </w:num>
  <w:num w:numId="26" w16cid:durableId="1555577469">
    <w:abstractNumId w:val="8"/>
  </w:num>
  <w:num w:numId="27" w16cid:durableId="1368486088">
    <w:abstractNumId w:val="3"/>
  </w:num>
  <w:num w:numId="28" w16cid:durableId="1617256542">
    <w:abstractNumId w:val="2"/>
  </w:num>
  <w:num w:numId="29" w16cid:durableId="2056735295">
    <w:abstractNumId w:val="1"/>
  </w:num>
  <w:num w:numId="30" w16cid:durableId="276563769">
    <w:abstractNumId w:val="0"/>
  </w:num>
  <w:num w:numId="31" w16cid:durableId="1467313263">
    <w:abstractNumId w:val="9"/>
  </w:num>
  <w:num w:numId="32" w16cid:durableId="430784414">
    <w:abstractNumId w:val="7"/>
  </w:num>
  <w:num w:numId="33" w16cid:durableId="1648826731">
    <w:abstractNumId w:val="6"/>
  </w:num>
  <w:num w:numId="34" w16cid:durableId="2041930270">
    <w:abstractNumId w:val="5"/>
  </w:num>
  <w:num w:numId="35" w16cid:durableId="889346475">
    <w:abstractNumId w:val="4"/>
  </w:num>
  <w:num w:numId="36" w16cid:durableId="1655722248">
    <w:abstractNumId w:val="8"/>
  </w:num>
  <w:num w:numId="37" w16cid:durableId="825821754">
    <w:abstractNumId w:val="3"/>
  </w:num>
  <w:num w:numId="38" w16cid:durableId="1243022850">
    <w:abstractNumId w:val="2"/>
  </w:num>
  <w:num w:numId="39" w16cid:durableId="1878005894">
    <w:abstractNumId w:val="1"/>
  </w:num>
  <w:num w:numId="40" w16cid:durableId="1685013191">
    <w:abstractNumId w:val="0"/>
  </w:num>
  <w:num w:numId="41" w16cid:durableId="1829900095">
    <w:abstractNumId w:val="10"/>
  </w:num>
  <w:num w:numId="42" w16cid:durableId="1638993670">
    <w:abstractNumId w:val="10"/>
  </w:num>
  <w:num w:numId="43" w16cid:durableId="1389036226">
    <w:abstractNumId w:val="10"/>
  </w:num>
  <w:num w:numId="44" w16cid:durableId="1128013462">
    <w:abstractNumId w:val="11"/>
  </w:num>
  <w:num w:numId="45" w16cid:durableId="886338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0/2025"/>
    <w:docVar w:name="dvlangue" w:val="ES"/>
    <w:docVar w:name="dvnumam" w:val="91"/>
    <w:docVar w:name="dvpe" w:val="774.316"/>
    <w:docVar w:name="dvrapporteur" w:val="Ponente: "/>
    <w:docVar w:name="dvstar" w:val="***I"/>
    <w:docVar w:name="dvtitre" w:val="Resolución legislativa del Parlamento Europeo, de 10 de febrero de 2026, sobre la propuesta de Reglamento del Parlamento Europeo y del Consejo por el que se modifican los Reglamentos (UE) n.º 1308/2013, (UE) 2021/2115 y (UE) n.º 251/2014 en lo que respecta a determinadas normas de comercialización y medidas de apoyo sectorial en el sector vitivinícola y a los productos vitivinícolas aromatizados(COM(2025)0137 – C10-0058/2025 – 2025/0071(COD))"/>
  </w:docVars>
  <w:rsids>
    <w:rsidRoot w:val="00776032"/>
    <w:rsid w:val="00002272"/>
    <w:rsid w:val="00063617"/>
    <w:rsid w:val="00064002"/>
    <w:rsid w:val="000677B9"/>
    <w:rsid w:val="000831BA"/>
    <w:rsid w:val="000A42CC"/>
    <w:rsid w:val="000E7DD9"/>
    <w:rsid w:val="0010095E"/>
    <w:rsid w:val="00125B37"/>
    <w:rsid w:val="00187494"/>
    <w:rsid w:val="001F32AE"/>
    <w:rsid w:val="00266E30"/>
    <w:rsid w:val="002767FF"/>
    <w:rsid w:val="002976C7"/>
    <w:rsid w:val="002B18FE"/>
    <w:rsid w:val="002B5493"/>
    <w:rsid w:val="002D5922"/>
    <w:rsid w:val="002F7425"/>
    <w:rsid w:val="00343214"/>
    <w:rsid w:val="00361C00"/>
    <w:rsid w:val="00395FA1"/>
    <w:rsid w:val="003B0B96"/>
    <w:rsid w:val="003E15D4"/>
    <w:rsid w:val="00411CCE"/>
    <w:rsid w:val="0041666E"/>
    <w:rsid w:val="00421060"/>
    <w:rsid w:val="00471C19"/>
    <w:rsid w:val="00473580"/>
    <w:rsid w:val="004867E3"/>
    <w:rsid w:val="00494A28"/>
    <w:rsid w:val="004C0004"/>
    <w:rsid w:val="004C5D52"/>
    <w:rsid w:val="0050519A"/>
    <w:rsid w:val="005072A1"/>
    <w:rsid w:val="005113C8"/>
    <w:rsid w:val="00514517"/>
    <w:rsid w:val="0052295A"/>
    <w:rsid w:val="00545827"/>
    <w:rsid w:val="00560270"/>
    <w:rsid w:val="0058547B"/>
    <w:rsid w:val="005C2568"/>
    <w:rsid w:val="005F1B17"/>
    <w:rsid w:val="006037C0"/>
    <w:rsid w:val="006631B6"/>
    <w:rsid w:val="0067495D"/>
    <w:rsid w:val="00680577"/>
    <w:rsid w:val="00684769"/>
    <w:rsid w:val="006F74FA"/>
    <w:rsid w:val="00731ADD"/>
    <w:rsid w:val="00734777"/>
    <w:rsid w:val="00743849"/>
    <w:rsid w:val="007451ED"/>
    <w:rsid w:val="00747932"/>
    <w:rsid w:val="00751A4A"/>
    <w:rsid w:val="00756632"/>
    <w:rsid w:val="00762C74"/>
    <w:rsid w:val="00776032"/>
    <w:rsid w:val="00786EC0"/>
    <w:rsid w:val="007D1690"/>
    <w:rsid w:val="007E22AD"/>
    <w:rsid w:val="00817416"/>
    <w:rsid w:val="0082738E"/>
    <w:rsid w:val="00842779"/>
    <w:rsid w:val="00865F67"/>
    <w:rsid w:val="00881A7B"/>
    <w:rsid w:val="008840E5"/>
    <w:rsid w:val="00887B3E"/>
    <w:rsid w:val="008C2AC6"/>
    <w:rsid w:val="008C5098"/>
    <w:rsid w:val="00914D9C"/>
    <w:rsid w:val="00930C23"/>
    <w:rsid w:val="0093193B"/>
    <w:rsid w:val="009509D8"/>
    <w:rsid w:val="00950B64"/>
    <w:rsid w:val="00981893"/>
    <w:rsid w:val="00A1687D"/>
    <w:rsid w:val="00A43E52"/>
    <w:rsid w:val="00A4678D"/>
    <w:rsid w:val="00A778C7"/>
    <w:rsid w:val="00AB441E"/>
    <w:rsid w:val="00AB6293"/>
    <w:rsid w:val="00AE0928"/>
    <w:rsid w:val="00AF3B82"/>
    <w:rsid w:val="00B0109F"/>
    <w:rsid w:val="00B12E95"/>
    <w:rsid w:val="00B22876"/>
    <w:rsid w:val="00B558F0"/>
    <w:rsid w:val="00B95D00"/>
    <w:rsid w:val="00BD48FE"/>
    <w:rsid w:val="00BD7BD8"/>
    <w:rsid w:val="00BE6ADC"/>
    <w:rsid w:val="00C05BFE"/>
    <w:rsid w:val="00C23CD4"/>
    <w:rsid w:val="00C61C0C"/>
    <w:rsid w:val="00C941CB"/>
    <w:rsid w:val="00CC2357"/>
    <w:rsid w:val="00CD1799"/>
    <w:rsid w:val="00CF071A"/>
    <w:rsid w:val="00D058B8"/>
    <w:rsid w:val="00D56C11"/>
    <w:rsid w:val="00D834A0"/>
    <w:rsid w:val="00D872DF"/>
    <w:rsid w:val="00D91E21"/>
    <w:rsid w:val="00DA7FCD"/>
    <w:rsid w:val="00DC5892"/>
    <w:rsid w:val="00DF4B9C"/>
    <w:rsid w:val="00E365E1"/>
    <w:rsid w:val="00E820A4"/>
    <w:rsid w:val="00EA5D87"/>
    <w:rsid w:val="00EB006A"/>
    <w:rsid w:val="00EB4772"/>
    <w:rsid w:val="00EC4DC5"/>
    <w:rsid w:val="00ED169E"/>
    <w:rsid w:val="00ED4235"/>
    <w:rsid w:val="00F04346"/>
    <w:rsid w:val="00F075DC"/>
    <w:rsid w:val="00F149E9"/>
    <w:rsid w:val="00F41C79"/>
    <w:rsid w:val="00F5134D"/>
    <w:rsid w:val="00F74202"/>
    <w:rsid w:val="00F87713"/>
    <w:rsid w:val="00FA222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72A4ED"/>
  <w15:chartTrackingRefBased/>
  <w15:docId w15:val="{BE33C042-B002-44AC-B30D-EC22A6CD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D5922"/>
    <w:rPr>
      <w:b/>
      <w:kern w:val="28"/>
      <w:sz w:val="28"/>
      <w:lang w:val="fr-FR" w:eastAsia="fr-FR"/>
    </w:rPr>
  </w:style>
  <w:style w:type="character" w:customStyle="1" w:styleId="Heading2Char">
    <w:name w:val="Heading 2 Char"/>
    <w:basedOn w:val="DefaultParagraphFont"/>
    <w:link w:val="Heading2"/>
    <w:semiHidden/>
    <w:rsid w:val="002D5922"/>
    <w:rPr>
      <w:sz w:val="24"/>
      <w:lang w:val="fr-FR" w:eastAsia="fr-FR"/>
    </w:rPr>
  </w:style>
  <w:style w:type="character" w:customStyle="1" w:styleId="Heading3Char">
    <w:name w:val="Heading 3 Char"/>
    <w:basedOn w:val="DefaultParagraphFont"/>
    <w:link w:val="Heading3"/>
    <w:semiHidden/>
    <w:rsid w:val="002D5922"/>
    <w:rPr>
      <w:rFonts w:ascii="Arial" w:hAnsi="Arial"/>
      <w:sz w:val="24"/>
      <w:lang w:val="fr-FR" w:eastAsia="fr-FR"/>
    </w:rPr>
  </w:style>
  <w:style w:type="character" w:customStyle="1" w:styleId="Heading4Char">
    <w:name w:val="Heading 4 Char"/>
    <w:basedOn w:val="DefaultParagraphFont"/>
    <w:link w:val="Heading4"/>
    <w:semiHidden/>
    <w:rsid w:val="002D5922"/>
    <w:rPr>
      <w:sz w:val="24"/>
      <w:lang w:val="en-US" w:eastAsia="fr-FR"/>
    </w:rPr>
  </w:style>
  <w:style w:type="character" w:customStyle="1" w:styleId="Heading5Char">
    <w:name w:val="Heading 5 Char"/>
    <w:basedOn w:val="DefaultParagraphFont"/>
    <w:link w:val="Heading5"/>
    <w:semiHidden/>
    <w:rsid w:val="002D5922"/>
    <w:rPr>
      <w:sz w:val="24"/>
      <w:lang w:val="en-US" w:eastAsia="fr-FR"/>
    </w:rPr>
  </w:style>
  <w:style w:type="character" w:customStyle="1" w:styleId="Heading6Char">
    <w:name w:val="Heading 6 Char"/>
    <w:basedOn w:val="DefaultParagraphFont"/>
    <w:link w:val="Heading6"/>
    <w:semiHidden/>
    <w:rsid w:val="002D5922"/>
    <w:rPr>
      <w:i/>
      <w:sz w:val="22"/>
      <w:lang w:val="es-ES_tradnl"/>
    </w:rPr>
  </w:style>
  <w:style w:type="character" w:customStyle="1" w:styleId="Heading7Char">
    <w:name w:val="Heading 7 Char"/>
    <w:basedOn w:val="DefaultParagraphFont"/>
    <w:link w:val="Heading7"/>
    <w:semiHidden/>
    <w:rsid w:val="002D5922"/>
    <w:rPr>
      <w:rFonts w:ascii="Arial" w:hAnsi="Arial"/>
      <w:sz w:val="24"/>
      <w:lang w:val="es-ES_tradnl"/>
    </w:rPr>
  </w:style>
  <w:style w:type="character" w:customStyle="1" w:styleId="Heading8Char">
    <w:name w:val="Heading 8 Char"/>
    <w:basedOn w:val="DefaultParagraphFont"/>
    <w:link w:val="Heading8"/>
    <w:semiHidden/>
    <w:rsid w:val="002D5922"/>
    <w:rPr>
      <w:rFonts w:ascii="Arial" w:hAnsi="Arial"/>
      <w:i/>
      <w:sz w:val="24"/>
      <w:lang w:val="es-ES_tradnl"/>
    </w:rPr>
  </w:style>
  <w:style w:type="character" w:customStyle="1" w:styleId="Heading9Char">
    <w:name w:val="Heading 9 Char"/>
    <w:basedOn w:val="DefaultParagraphFont"/>
    <w:link w:val="Heading9"/>
    <w:semiHidden/>
    <w:rsid w:val="002D5922"/>
    <w:rPr>
      <w:rFonts w:ascii="Arial" w:hAnsi="Arial"/>
      <w:b/>
      <w:i/>
      <w:sz w:val="18"/>
      <w:lang w:val="es-ES_tradnl"/>
    </w:rPr>
  </w:style>
  <w:style w:type="paragraph" w:styleId="TOCHeading">
    <w:name w:val="TOC Heading"/>
    <w:basedOn w:val="Normal"/>
    <w:next w:val="Normal"/>
    <w:unhideWhenUsed/>
    <w:qFormat/>
    <w:rsid w:val="002D5922"/>
    <w:pPr>
      <w:widowControl/>
      <w:spacing w:after="240"/>
    </w:pPr>
    <w:rPr>
      <w:lang w:val="en-GB"/>
    </w:rPr>
  </w:style>
  <w:style w:type="paragraph" w:customStyle="1" w:styleId="EPFooter2">
    <w:name w:val="EPFooter2"/>
    <w:basedOn w:val="Normal"/>
    <w:next w:val="Normal"/>
    <w:rsid w:val="002D592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D5922"/>
    <w:pPr>
      <w:keepNext/>
      <w:spacing w:after="240"/>
      <w:jc w:val="right"/>
    </w:pPr>
    <w:rPr>
      <w:rFonts w:ascii="Arial" w:hAnsi="Arial"/>
      <w:b/>
    </w:rPr>
  </w:style>
  <w:style w:type="paragraph" w:customStyle="1" w:styleId="Normal6a">
    <w:name w:val="Normal6a"/>
    <w:basedOn w:val="Normal"/>
    <w:rsid w:val="002D5922"/>
    <w:pPr>
      <w:spacing w:after="120"/>
    </w:pPr>
  </w:style>
  <w:style w:type="paragraph" w:customStyle="1" w:styleId="PageHeading">
    <w:name w:val="PageHeading"/>
    <w:basedOn w:val="Normal"/>
    <w:rsid w:val="002D5922"/>
    <w:pPr>
      <w:keepNext/>
      <w:spacing w:after="480"/>
      <w:jc w:val="center"/>
    </w:pPr>
    <w:rPr>
      <w:rFonts w:ascii="Arial" w:hAnsi="Arial" w:cs="Arial"/>
      <w:b/>
    </w:rPr>
  </w:style>
  <w:style w:type="paragraph" w:customStyle="1" w:styleId="NormalBold">
    <w:name w:val="NormalBold"/>
    <w:basedOn w:val="Normal"/>
    <w:link w:val="NormalBoldChar"/>
    <w:rsid w:val="002D5922"/>
    <w:rPr>
      <w:b/>
    </w:rPr>
  </w:style>
  <w:style w:type="character" w:customStyle="1" w:styleId="NormalBoldChar">
    <w:name w:val="NormalBold Char"/>
    <w:basedOn w:val="DefaultParagraphFont"/>
    <w:link w:val="NormalBold"/>
    <w:locked/>
    <w:rsid w:val="002D5922"/>
    <w:rPr>
      <w:b/>
      <w:sz w:val="24"/>
      <w:lang w:val="es-ES_tradnl"/>
    </w:rPr>
  </w:style>
  <w:style w:type="paragraph" w:customStyle="1" w:styleId="NormalBold12a">
    <w:name w:val="NormalBold12a"/>
    <w:basedOn w:val="Normal"/>
    <w:rsid w:val="002D5922"/>
    <w:pPr>
      <w:spacing w:after="240"/>
    </w:pPr>
    <w:rPr>
      <w:b/>
    </w:rPr>
  </w:style>
  <w:style w:type="paragraph" w:customStyle="1" w:styleId="AmJustText">
    <w:name w:val="AmJustText"/>
    <w:basedOn w:val="Normal"/>
    <w:rsid w:val="002D5922"/>
    <w:pPr>
      <w:spacing w:after="240"/>
    </w:pPr>
    <w:rPr>
      <w:i/>
    </w:rPr>
  </w:style>
  <w:style w:type="paragraph" w:customStyle="1" w:styleId="NormalHanging12a">
    <w:name w:val="NormalHanging12a"/>
    <w:basedOn w:val="Normal"/>
    <w:rsid w:val="002D5922"/>
    <w:pPr>
      <w:spacing w:after="240"/>
      <w:ind w:left="567" w:hanging="567"/>
    </w:pPr>
  </w:style>
  <w:style w:type="paragraph" w:customStyle="1" w:styleId="CoverNormal24a">
    <w:name w:val="CoverNormal24a"/>
    <w:basedOn w:val="Normal"/>
    <w:rsid w:val="002D5922"/>
    <w:pPr>
      <w:spacing w:after="480"/>
      <w:ind w:left="1417"/>
    </w:pPr>
  </w:style>
  <w:style w:type="paragraph" w:customStyle="1" w:styleId="CoverNormal">
    <w:name w:val="CoverNormal"/>
    <w:basedOn w:val="Normal"/>
    <w:rsid w:val="002D5922"/>
    <w:pPr>
      <w:ind w:left="1418"/>
    </w:pPr>
  </w:style>
  <w:style w:type="paragraph" w:customStyle="1" w:styleId="AmCrossRef">
    <w:name w:val="AmCrossRef"/>
    <w:basedOn w:val="Normal"/>
    <w:rsid w:val="002D5922"/>
    <w:pPr>
      <w:spacing w:before="240" w:after="240"/>
      <w:jc w:val="center"/>
    </w:pPr>
    <w:rPr>
      <w:i/>
    </w:rPr>
  </w:style>
  <w:style w:type="paragraph" w:customStyle="1" w:styleId="AmJustTitle">
    <w:name w:val="AmJustTitle"/>
    <w:basedOn w:val="Normal"/>
    <w:next w:val="AmJustText"/>
    <w:rsid w:val="002D5922"/>
    <w:pPr>
      <w:keepNext/>
      <w:spacing w:before="240" w:after="240"/>
      <w:jc w:val="center"/>
    </w:pPr>
    <w:rPr>
      <w:i/>
    </w:rPr>
  </w:style>
  <w:style w:type="paragraph" w:customStyle="1" w:styleId="CoverReference">
    <w:name w:val="CoverReference"/>
    <w:basedOn w:val="Normal"/>
    <w:rsid w:val="002D5922"/>
    <w:pPr>
      <w:spacing w:before="1080"/>
      <w:jc w:val="right"/>
    </w:pPr>
    <w:rPr>
      <w:rFonts w:ascii="Arial" w:hAnsi="Arial" w:cs="Arial"/>
      <w:b/>
    </w:rPr>
  </w:style>
  <w:style w:type="paragraph" w:customStyle="1" w:styleId="CoverDocType">
    <w:name w:val="CoverDocType"/>
    <w:basedOn w:val="Normal"/>
    <w:rsid w:val="002D5922"/>
    <w:pPr>
      <w:ind w:left="1418"/>
    </w:pPr>
    <w:rPr>
      <w:rFonts w:ascii="Arial" w:hAnsi="Arial"/>
      <w:b/>
      <w:sz w:val="48"/>
    </w:rPr>
  </w:style>
  <w:style w:type="paragraph" w:customStyle="1" w:styleId="CoverDocType24a">
    <w:name w:val="CoverDocType24a"/>
    <w:basedOn w:val="Normal"/>
    <w:rsid w:val="002D5922"/>
    <w:pPr>
      <w:spacing w:after="480"/>
      <w:ind w:left="1418"/>
    </w:pPr>
    <w:rPr>
      <w:rFonts w:ascii="Arial" w:hAnsi="Arial"/>
      <w:b/>
      <w:sz w:val="48"/>
    </w:rPr>
  </w:style>
  <w:style w:type="paragraph" w:customStyle="1" w:styleId="CoverDate">
    <w:name w:val="CoverDate"/>
    <w:basedOn w:val="Normal"/>
    <w:rsid w:val="002D5922"/>
    <w:pPr>
      <w:spacing w:before="240" w:after="1200"/>
    </w:pPr>
  </w:style>
  <w:style w:type="paragraph" w:styleId="Header">
    <w:name w:val="header"/>
    <w:basedOn w:val="Normal"/>
    <w:link w:val="HeaderChar"/>
    <w:rsid w:val="002D5922"/>
    <w:pPr>
      <w:tabs>
        <w:tab w:val="center" w:pos="4513"/>
        <w:tab w:val="right" w:pos="9026"/>
      </w:tabs>
    </w:pPr>
  </w:style>
  <w:style w:type="character" w:customStyle="1" w:styleId="HeaderChar">
    <w:name w:val="Header Char"/>
    <w:basedOn w:val="DefaultParagraphFont"/>
    <w:link w:val="Header"/>
    <w:rsid w:val="002D5922"/>
    <w:rPr>
      <w:sz w:val="24"/>
      <w:lang w:val="es-ES_tradnl"/>
    </w:rPr>
  </w:style>
  <w:style w:type="paragraph" w:customStyle="1" w:styleId="AmOrLang">
    <w:name w:val="AmOrLang"/>
    <w:basedOn w:val="Normal"/>
    <w:rsid w:val="002D5922"/>
    <w:pPr>
      <w:spacing w:before="240" w:after="240"/>
      <w:jc w:val="right"/>
    </w:pPr>
  </w:style>
  <w:style w:type="paragraph" w:customStyle="1" w:styleId="AmColumnHeading">
    <w:name w:val="AmColumnHeading"/>
    <w:basedOn w:val="Normal"/>
    <w:rsid w:val="002D5922"/>
    <w:pPr>
      <w:spacing w:after="240"/>
      <w:jc w:val="center"/>
    </w:pPr>
    <w:rPr>
      <w:i/>
    </w:rPr>
  </w:style>
  <w:style w:type="paragraph" w:customStyle="1" w:styleId="AmNumberTabs">
    <w:name w:val="AmNumberTabs"/>
    <w:basedOn w:val="Normal"/>
    <w:rsid w:val="002D59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D5922"/>
    <w:pPr>
      <w:spacing w:before="240"/>
    </w:pPr>
    <w:rPr>
      <w:b/>
    </w:rPr>
  </w:style>
  <w:style w:type="paragraph" w:customStyle="1" w:styleId="EPBody">
    <w:name w:val="EPBody"/>
    <w:basedOn w:val="Normal"/>
    <w:rsid w:val="002D5922"/>
    <w:pPr>
      <w:jc w:val="center"/>
    </w:pPr>
    <w:rPr>
      <w:rFonts w:ascii="Arial" w:hAnsi="Arial" w:cs="Arial"/>
      <w:i/>
      <w:sz w:val="22"/>
      <w:szCs w:val="22"/>
    </w:rPr>
  </w:style>
  <w:style w:type="paragraph" w:customStyle="1" w:styleId="EPFooter">
    <w:name w:val="EPFooter"/>
    <w:basedOn w:val="Normal"/>
    <w:rsid w:val="002D5922"/>
    <w:pPr>
      <w:tabs>
        <w:tab w:val="center" w:pos="4535"/>
        <w:tab w:val="right" w:pos="9071"/>
      </w:tabs>
      <w:spacing w:before="240" w:after="240"/>
    </w:pPr>
    <w:rPr>
      <w:color w:val="010000"/>
      <w:sz w:val="22"/>
    </w:rPr>
  </w:style>
  <w:style w:type="paragraph" w:customStyle="1" w:styleId="EPComma">
    <w:name w:val="EPComma"/>
    <w:basedOn w:val="Normal"/>
    <w:rsid w:val="002D5922"/>
    <w:pPr>
      <w:spacing w:before="480" w:after="240"/>
    </w:pPr>
  </w:style>
  <w:style w:type="paragraph" w:customStyle="1" w:styleId="Lgendesigne">
    <w:name w:val="Légende signe"/>
    <w:basedOn w:val="Normal"/>
    <w:rsid w:val="002D5922"/>
    <w:pPr>
      <w:tabs>
        <w:tab w:val="right" w:pos="454"/>
        <w:tab w:val="left" w:pos="737"/>
      </w:tabs>
      <w:ind w:left="737" w:hanging="737"/>
    </w:pPr>
    <w:rPr>
      <w:snapToGrid w:val="0"/>
      <w:sz w:val="18"/>
      <w:lang w:eastAsia="en-US"/>
    </w:rPr>
  </w:style>
  <w:style w:type="paragraph" w:customStyle="1" w:styleId="Lgendetitre">
    <w:name w:val="Légende titre"/>
    <w:basedOn w:val="Normal"/>
    <w:rsid w:val="002D5922"/>
    <w:pPr>
      <w:spacing w:before="240" w:after="240"/>
    </w:pPr>
    <w:rPr>
      <w:b/>
      <w:i/>
      <w:snapToGrid w:val="0"/>
      <w:lang w:eastAsia="en-US"/>
    </w:rPr>
  </w:style>
  <w:style w:type="paragraph" w:customStyle="1" w:styleId="Lgendestandard">
    <w:name w:val="Légende standard"/>
    <w:basedOn w:val="Normal"/>
    <w:rsid w:val="002D5922"/>
    <w:rPr>
      <w:sz w:val="18"/>
    </w:rPr>
  </w:style>
  <w:style w:type="character" w:customStyle="1" w:styleId="FooterChar">
    <w:name w:val="Footer Char"/>
    <w:basedOn w:val="DefaultParagraphFont"/>
    <w:link w:val="Footer"/>
    <w:rsid w:val="002D5922"/>
    <w:rPr>
      <w:sz w:val="22"/>
    </w:rPr>
  </w:style>
  <w:style w:type="paragraph" w:styleId="Footer">
    <w:name w:val="footer"/>
    <w:link w:val="FooterChar"/>
    <w:unhideWhenUsed/>
    <w:rsid w:val="002D5922"/>
    <w:pPr>
      <w:tabs>
        <w:tab w:val="center" w:pos="4536"/>
        <w:tab w:val="right" w:pos="9072"/>
      </w:tabs>
      <w:spacing w:before="240" w:after="240" w:line="220" w:lineRule="auto"/>
    </w:pPr>
    <w:rPr>
      <w:sz w:val="22"/>
    </w:rPr>
  </w:style>
  <w:style w:type="character" w:customStyle="1" w:styleId="FooterChar1">
    <w:name w:val="Footer Char1"/>
    <w:basedOn w:val="DefaultParagraphFont"/>
    <w:rsid w:val="002D5922"/>
    <w:rPr>
      <w:sz w:val="24"/>
      <w:lang w:val="es-ES_tradnl"/>
    </w:rPr>
  </w:style>
  <w:style w:type="character" w:customStyle="1" w:styleId="Normal12Char">
    <w:name w:val="Normal12 Char"/>
    <w:basedOn w:val="DefaultParagraphFont"/>
    <w:link w:val="Normal12"/>
    <w:locked/>
    <w:rsid w:val="002D5922"/>
    <w:rPr>
      <w:noProof/>
      <w:sz w:val="24"/>
    </w:rPr>
  </w:style>
  <w:style w:type="paragraph" w:customStyle="1" w:styleId="Normal12">
    <w:name w:val="Normal12"/>
    <w:basedOn w:val="Normal"/>
    <w:link w:val="Normal12Char"/>
    <w:rsid w:val="002D5922"/>
    <w:pPr>
      <w:spacing w:after="240"/>
    </w:pPr>
    <w:rPr>
      <w:noProof/>
      <w:lang w:val="en-GB"/>
    </w:rPr>
  </w:style>
  <w:style w:type="character" w:customStyle="1" w:styleId="Normal6Char">
    <w:name w:val="Normal6 Char"/>
    <w:basedOn w:val="DefaultParagraphFont"/>
    <w:link w:val="Normal6"/>
    <w:locked/>
    <w:rsid w:val="002D5922"/>
    <w:rPr>
      <w:sz w:val="24"/>
      <w:lang w:val="es-ES"/>
    </w:rPr>
  </w:style>
  <w:style w:type="paragraph" w:customStyle="1" w:styleId="Normal6">
    <w:name w:val="Normal6"/>
    <w:basedOn w:val="Normal"/>
    <w:link w:val="Normal6Char"/>
    <w:rsid w:val="002D5922"/>
    <w:pPr>
      <w:spacing w:after="120"/>
    </w:pPr>
    <w:rPr>
      <w:lang w:val="es-ES"/>
    </w:rPr>
  </w:style>
  <w:style w:type="paragraph" w:customStyle="1" w:styleId="Normal12Italic">
    <w:name w:val="Normal12Italic"/>
    <w:basedOn w:val="Normal12"/>
    <w:rsid w:val="002D5922"/>
    <w:rPr>
      <w:i/>
    </w:rPr>
  </w:style>
  <w:style w:type="paragraph" w:customStyle="1" w:styleId="Footer2">
    <w:name w:val="Footer2"/>
    <w:basedOn w:val="Normal12"/>
    <w:rsid w:val="002D5922"/>
    <w:pPr>
      <w:tabs>
        <w:tab w:val="center" w:pos="4535"/>
        <w:tab w:val="right" w:pos="9923"/>
      </w:tabs>
      <w:spacing w:line="480" w:lineRule="auto"/>
      <w:ind w:left="-851"/>
    </w:pPr>
    <w:rPr>
      <w:rFonts w:ascii="Arial" w:cs="Arial"/>
      <w:b/>
      <w:sz w:val="48"/>
    </w:rPr>
  </w:style>
  <w:style w:type="paragraph" w:customStyle="1" w:styleId="EntPE">
    <w:name w:val="EntPE"/>
    <w:basedOn w:val="Normal12"/>
    <w:rsid w:val="002D5922"/>
    <w:pPr>
      <w:jc w:val="center"/>
    </w:pPr>
    <w:rPr>
      <w:noProof w:val="0"/>
      <w:sz w:val="56"/>
    </w:rPr>
  </w:style>
  <w:style w:type="paragraph" w:customStyle="1" w:styleId="AMNumberTabs0">
    <w:name w:val="AMNumberTabs"/>
    <w:basedOn w:val="Normal"/>
    <w:rsid w:val="002D59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D5922"/>
    <w:pPr>
      <w:spacing w:after="240"/>
      <w:jc w:val="center"/>
    </w:pPr>
    <w:rPr>
      <w:i/>
    </w:rPr>
  </w:style>
  <w:style w:type="paragraph" w:customStyle="1" w:styleId="Olang">
    <w:name w:val="Olang"/>
    <w:basedOn w:val="Normal"/>
    <w:rsid w:val="002D5922"/>
    <w:pPr>
      <w:spacing w:before="240" w:after="240"/>
      <w:jc w:val="right"/>
    </w:pPr>
    <w:rPr>
      <w:noProof/>
      <w:szCs w:val="24"/>
    </w:rPr>
  </w:style>
  <w:style w:type="paragraph" w:customStyle="1" w:styleId="JustificationTitle">
    <w:name w:val="JustificationTitle"/>
    <w:basedOn w:val="Normal"/>
    <w:next w:val="Normal12"/>
    <w:rsid w:val="002D5922"/>
    <w:pPr>
      <w:keepNext/>
      <w:spacing w:before="240" w:after="240"/>
      <w:jc w:val="center"/>
    </w:pPr>
    <w:rPr>
      <w:i/>
      <w:noProof/>
    </w:rPr>
  </w:style>
  <w:style w:type="paragraph" w:customStyle="1" w:styleId="CrossRef">
    <w:name w:val="CrossRef"/>
    <w:basedOn w:val="Normal"/>
    <w:rsid w:val="002D5922"/>
    <w:pPr>
      <w:spacing w:before="240"/>
      <w:jc w:val="center"/>
    </w:pPr>
    <w:rPr>
      <w:i/>
    </w:rPr>
  </w:style>
  <w:style w:type="paragraph" w:styleId="NormalWeb">
    <w:name w:val="Normal (Web)"/>
    <w:basedOn w:val="Normal"/>
    <w:uiPriority w:val="99"/>
    <w:unhideWhenUsed/>
    <w:rsid w:val="002D5922"/>
    <w:pPr>
      <w:widowControl/>
      <w:spacing w:before="100" w:beforeAutospacing="1" w:after="100" w:afterAutospacing="1"/>
    </w:pPr>
    <w:rPr>
      <w:szCs w:val="24"/>
    </w:rPr>
  </w:style>
  <w:style w:type="character" w:styleId="Hyperlink">
    <w:name w:val="Hyperlink"/>
    <w:basedOn w:val="DefaultParagraphFont"/>
    <w:uiPriority w:val="99"/>
    <w:unhideWhenUsed/>
    <w:rsid w:val="002D5922"/>
    <w:rPr>
      <w:color w:val="0563C1"/>
      <w:u w:val="single"/>
    </w:rPr>
  </w:style>
  <w:style w:type="paragraph" w:styleId="BalloonText">
    <w:name w:val="Balloon Text"/>
    <w:basedOn w:val="Normal"/>
    <w:link w:val="BalloonTextChar"/>
    <w:unhideWhenUsed/>
    <w:rsid w:val="002D5922"/>
    <w:rPr>
      <w:rFonts w:ascii="Segoe UI" w:hAnsi="Segoe UI" w:cs="Segoe UI"/>
      <w:sz w:val="18"/>
      <w:szCs w:val="18"/>
    </w:rPr>
  </w:style>
  <w:style w:type="character" w:customStyle="1" w:styleId="BalloonTextChar">
    <w:name w:val="Balloon Text Char"/>
    <w:basedOn w:val="DefaultParagraphFont"/>
    <w:link w:val="BalloonText"/>
    <w:rsid w:val="002D5922"/>
    <w:rPr>
      <w:rFonts w:ascii="Segoe UI" w:hAnsi="Segoe UI" w:cs="Segoe UI"/>
      <w:sz w:val="18"/>
      <w:szCs w:val="18"/>
      <w:lang w:val="es-ES_tradnl"/>
    </w:rPr>
  </w:style>
  <w:style w:type="character" w:styleId="CommentReference">
    <w:name w:val="annotation reference"/>
    <w:basedOn w:val="DefaultParagraphFont"/>
    <w:rsid w:val="002D5922"/>
    <w:rPr>
      <w:sz w:val="16"/>
      <w:szCs w:val="16"/>
    </w:rPr>
  </w:style>
  <w:style w:type="paragraph" w:styleId="CommentText">
    <w:name w:val="annotation text"/>
    <w:basedOn w:val="Normal"/>
    <w:link w:val="CommentTextChar"/>
    <w:rsid w:val="002D5922"/>
    <w:rPr>
      <w:sz w:val="20"/>
    </w:rPr>
  </w:style>
  <w:style w:type="character" w:customStyle="1" w:styleId="CommentTextChar">
    <w:name w:val="Comment Text Char"/>
    <w:basedOn w:val="DefaultParagraphFont"/>
    <w:link w:val="CommentText"/>
    <w:rsid w:val="002D5922"/>
    <w:rPr>
      <w:lang w:val="es-ES_tradnl"/>
    </w:rPr>
  </w:style>
  <w:style w:type="paragraph" w:styleId="CommentSubject">
    <w:name w:val="annotation subject"/>
    <w:basedOn w:val="CommentText"/>
    <w:next w:val="CommentText"/>
    <w:link w:val="CommentSubjectChar"/>
    <w:unhideWhenUsed/>
    <w:rsid w:val="002D5922"/>
    <w:rPr>
      <w:b/>
      <w:bCs/>
    </w:rPr>
  </w:style>
  <w:style w:type="character" w:customStyle="1" w:styleId="CommentSubjectChar">
    <w:name w:val="Comment Subject Char"/>
    <w:basedOn w:val="CommentTextChar"/>
    <w:link w:val="CommentSubject"/>
    <w:rsid w:val="002D5922"/>
    <w:rPr>
      <w:b/>
      <w:bCs/>
      <w:lang w:val="es-ES_tradnl"/>
    </w:rPr>
  </w:style>
  <w:style w:type="paragraph" w:customStyle="1" w:styleId="Point1">
    <w:name w:val="Point 1"/>
    <w:basedOn w:val="Normal"/>
    <w:rsid w:val="002D5922"/>
    <w:pPr>
      <w:widowControl/>
      <w:spacing w:before="120" w:after="120"/>
      <w:ind w:left="1417" w:hanging="567"/>
      <w:jc w:val="both"/>
    </w:pPr>
    <w:rPr>
      <w:rFonts w:eastAsiaTheme="minorHAnsi"/>
      <w:szCs w:val="22"/>
      <w:lang w:eastAsia="en-US"/>
    </w:rPr>
  </w:style>
  <w:style w:type="character" w:styleId="Emphasis">
    <w:name w:val="Emphasis"/>
    <w:basedOn w:val="DefaultParagraphFont"/>
    <w:uiPriority w:val="20"/>
    <w:qFormat/>
    <w:rsid w:val="002D5922"/>
    <w:rPr>
      <w:i/>
      <w:iCs/>
    </w:rPr>
  </w:style>
  <w:style w:type="paragraph" w:styleId="Revision">
    <w:name w:val="Revision"/>
    <w:hidden/>
    <w:uiPriority w:val="99"/>
    <w:semiHidden/>
    <w:rsid w:val="002D5922"/>
    <w:rPr>
      <w:sz w:val="24"/>
      <w:lang w:val="es-ES"/>
    </w:rPr>
  </w:style>
  <w:style w:type="paragraph" w:customStyle="1" w:styleId="Normal12a">
    <w:name w:val="Normal12a"/>
    <w:basedOn w:val="Normal"/>
    <w:rsid w:val="002D5922"/>
    <w:pPr>
      <w:spacing w:after="240"/>
    </w:pPr>
  </w:style>
  <w:style w:type="paragraph" w:customStyle="1" w:styleId="RollCallVotes">
    <w:name w:val="RollCallVotes"/>
    <w:basedOn w:val="Normal"/>
    <w:rsid w:val="002D5922"/>
    <w:pPr>
      <w:spacing w:before="120" w:after="120"/>
      <w:jc w:val="center"/>
    </w:pPr>
    <w:rPr>
      <w:b/>
      <w:bCs/>
      <w:snapToGrid w:val="0"/>
      <w:sz w:val="16"/>
      <w:lang w:eastAsia="en-US"/>
    </w:rPr>
  </w:style>
  <w:style w:type="paragraph" w:customStyle="1" w:styleId="RollCallTabs">
    <w:name w:val="RollCallTabs"/>
    <w:basedOn w:val="Normal"/>
    <w:qFormat/>
    <w:rsid w:val="002D5922"/>
    <w:pPr>
      <w:tabs>
        <w:tab w:val="center" w:pos="284"/>
        <w:tab w:val="left" w:pos="426"/>
      </w:tabs>
    </w:pPr>
    <w:rPr>
      <w:snapToGrid w:val="0"/>
      <w:lang w:eastAsia="en-US"/>
    </w:rPr>
  </w:style>
  <w:style w:type="paragraph" w:customStyle="1" w:styleId="RollCallSymbols14pt">
    <w:name w:val="RollCallSymbols14pt"/>
    <w:basedOn w:val="Normal"/>
    <w:rsid w:val="002D5922"/>
    <w:pPr>
      <w:spacing w:before="120" w:after="120"/>
      <w:jc w:val="center"/>
    </w:pPr>
    <w:rPr>
      <w:rFonts w:ascii="Arial" w:hAnsi="Arial"/>
      <w:b/>
      <w:bCs/>
      <w:snapToGrid w:val="0"/>
      <w:sz w:val="28"/>
      <w:lang w:eastAsia="en-US"/>
    </w:rPr>
  </w:style>
  <w:style w:type="paragraph" w:customStyle="1" w:styleId="RollCallTable">
    <w:name w:val="RollCallTable"/>
    <w:basedOn w:val="Normal"/>
    <w:rsid w:val="002D5922"/>
    <w:pPr>
      <w:spacing w:before="120" w:after="120"/>
    </w:pPr>
    <w:rPr>
      <w:snapToGrid w:val="0"/>
      <w:sz w:val="16"/>
      <w:lang w:eastAsia="en-US"/>
    </w:rPr>
  </w:style>
  <w:style w:type="paragraph" w:customStyle="1" w:styleId="Normal12Hanging">
    <w:name w:val="Normal12Hanging"/>
    <w:basedOn w:val="Normal12"/>
    <w:rsid w:val="00DC5892"/>
    <w:pPr>
      <w:ind w:left="357" w:hanging="357"/>
    </w:pPr>
    <w:rPr>
      <w:noProof w:val="0"/>
      <w:snapToGrid w:val="0"/>
      <w:lang w:val="es-ES_tradnl"/>
    </w:rPr>
  </w:style>
  <w:style w:type="character" w:customStyle="1" w:styleId="Hyperlink1">
    <w:name w:val="Hyperlink1"/>
    <w:basedOn w:val="DefaultParagraphFont"/>
    <w:uiPriority w:val="99"/>
    <w:unhideWhenUsed/>
    <w:rsid w:val="00DC5892"/>
    <w:rPr>
      <w:color w:val="0563C1"/>
      <w:u w:val="single"/>
    </w:rPr>
  </w:style>
  <w:style w:type="character" w:customStyle="1" w:styleId="Hyperlink2">
    <w:name w:val="Hyperlink2"/>
    <w:basedOn w:val="DefaultParagraphFont"/>
    <w:uiPriority w:val="99"/>
    <w:unhideWhenUsed/>
    <w:rsid w:val="00DC5892"/>
    <w:rPr>
      <w:color w:val="0563C1"/>
      <w:u w:val="single"/>
    </w:rPr>
  </w:style>
  <w:style w:type="character" w:styleId="UnresolvedMention">
    <w:name w:val="Unresolved Mention"/>
    <w:basedOn w:val="DefaultParagraphFont"/>
    <w:uiPriority w:val="99"/>
    <w:semiHidden/>
    <w:unhideWhenUsed/>
    <w:rsid w:val="00DF4B9C"/>
    <w:rPr>
      <w:color w:val="605E5C"/>
      <w:shd w:val="clear" w:color="auto" w:fill="E1DFDD"/>
    </w:rPr>
  </w:style>
  <w:style w:type="paragraph" w:customStyle="1" w:styleId="normal12hanging0">
    <w:name w:val="normal12hanging"/>
    <w:basedOn w:val="Normal"/>
    <w:rsid w:val="00EC4DC5"/>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471/oj" TargetMode="External"/><Relationship Id="rId2" Type="http://schemas.openxmlformats.org/officeDocument/2006/relationships/hyperlink" Target="http://data.europa.eu/eli/C/2025/4418/oj" TargetMode="External"/><Relationship Id="rId1" Type="http://schemas.openxmlformats.org/officeDocument/2006/relationships/hyperlink" Target="http://data.europa.eu/eli/C/2025/51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757</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SOLTYSOVA Zuzana</cp:lastModifiedBy>
  <cp:revision>3</cp:revision>
  <cp:lastPrinted>2004-11-19T15:42:00Z</cp:lastPrinted>
  <dcterms:created xsi:type="dcterms:W3CDTF">2026-04-14T11:12:00Z</dcterms:created>
  <dcterms:modified xsi:type="dcterms:W3CDTF">2026-04-30T14:50:00Z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P10_TA(2026)0028_</vt:lpwstr>
  </property>
  <property fmtid="{D5CDD505-2E9C-101B-9397-08002B2CF9AE}" pid="4" name="&lt;Type&gt;">
    <vt:lpwstr>RR</vt:lpwstr>
  </property>
</Properties>
</file>