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188C" w14:paraId="54A023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01632A" w14:textId="77777777" w:rsidR="00751A4A" w:rsidRPr="0001188C" w:rsidRDefault="008547F6" w:rsidP="0010095E">
            <w:pPr>
              <w:pStyle w:val="EPName"/>
            </w:pPr>
            <w:r w:rsidRPr="0001188C">
              <w:t>Euroopa Parlament</w:t>
            </w:r>
          </w:p>
          <w:p w14:paraId="5B45FB80" w14:textId="77777777" w:rsidR="00751A4A" w:rsidRPr="000118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188C">
              <w:t>2024</w:t>
            </w:r>
            <w:r w:rsidR="00817416" w:rsidRPr="0001188C">
              <w:t>-202</w:t>
            </w:r>
            <w:r w:rsidRPr="0001188C">
              <w:t>9</w:t>
            </w:r>
          </w:p>
        </w:tc>
        <w:tc>
          <w:tcPr>
            <w:tcW w:w="2268" w:type="dxa"/>
            <w:shd w:val="clear" w:color="auto" w:fill="auto"/>
          </w:tcPr>
          <w:p w14:paraId="26CE5503" w14:textId="77777777" w:rsidR="00751A4A" w:rsidRPr="0001188C" w:rsidRDefault="00187494" w:rsidP="0010095E">
            <w:pPr>
              <w:pStyle w:val="EPLogo"/>
            </w:pPr>
            <w:r w:rsidRPr="0001188C">
              <w:rPr>
                <w:noProof/>
                <w:lang w:eastAsia="ja-JP"/>
              </w:rPr>
              <w:drawing>
                <wp:inline distT="0" distB="0" distL="0" distR="0" wp14:anchorId="757F1808" wp14:editId="27C9EA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E07E3" w14:textId="77777777" w:rsidR="00D058B8" w:rsidRPr="0001188C" w:rsidRDefault="00D058B8" w:rsidP="004C5D52">
      <w:pPr>
        <w:pStyle w:val="LineTop"/>
      </w:pPr>
    </w:p>
    <w:p w14:paraId="7E315897" w14:textId="77777777" w:rsidR="00680577" w:rsidRPr="0001188C" w:rsidRDefault="008547F6" w:rsidP="00680577">
      <w:pPr>
        <w:pStyle w:val="EPBodyTA1"/>
      </w:pPr>
      <w:r w:rsidRPr="0001188C">
        <w:t>VASTUVÕETUD TEKSTID</w:t>
      </w:r>
    </w:p>
    <w:p w14:paraId="4620A3D9" w14:textId="77777777" w:rsidR="00D058B8" w:rsidRPr="0001188C" w:rsidRDefault="00D058B8" w:rsidP="00D058B8">
      <w:pPr>
        <w:pStyle w:val="LineBottom"/>
      </w:pPr>
    </w:p>
    <w:p w14:paraId="6D3A9392" w14:textId="4F9F79AB" w:rsidR="008547F6" w:rsidRPr="0001188C" w:rsidRDefault="008547F6" w:rsidP="008547F6">
      <w:pPr>
        <w:pStyle w:val="ATHeading1"/>
      </w:pPr>
      <w:bookmarkStart w:id="0" w:name="TANumber"/>
      <w:r w:rsidRPr="0001188C">
        <w:t>P10_TA(2026)00</w:t>
      </w:r>
      <w:r w:rsidR="00A91292" w:rsidRPr="0001188C">
        <w:t>28</w:t>
      </w:r>
      <w:bookmarkEnd w:id="0"/>
    </w:p>
    <w:p w14:paraId="7B3C3CC6" w14:textId="43823DA7" w:rsidR="008547F6" w:rsidRPr="0001188C" w:rsidRDefault="008547F6" w:rsidP="008547F6">
      <w:pPr>
        <w:pStyle w:val="ATHeading2"/>
      </w:pPr>
      <w:bookmarkStart w:id="1" w:name="title"/>
      <w:r w:rsidRPr="0001188C">
        <w:t xml:space="preserve">Põllumajandustooteid käsitlevate määruste muutmine </w:t>
      </w:r>
      <w:r w:rsidR="00963BF2" w:rsidRPr="0001188C">
        <w:t xml:space="preserve">seoses veini ja aromatiseeritud veinitoodete </w:t>
      </w:r>
      <w:r w:rsidRPr="0001188C">
        <w:t>turureeglite ja valdkondlik</w:t>
      </w:r>
      <w:r w:rsidR="00963BF2" w:rsidRPr="0001188C">
        <w:t>u</w:t>
      </w:r>
      <w:r w:rsidRPr="0001188C">
        <w:t xml:space="preserve"> toetuse</w:t>
      </w:r>
      <w:r w:rsidR="00963BF2" w:rsidRPr="0001188C">
        <w:t>ga</w:t>
      </w:r>
      <w:bookmarkEnd w:id="1"/>
    </w:p>
    <w:p w14:paraId="50F47822" w14:textId="77777777" w:rsidR="008547F6" w:rsidRPr="0001188C" w:rsidRDefault="008547F6" w:rsidP="008547F6">
      <w:pPr>
        <w:rPr>
          <w:i/>
          <w:vanish/>
        </w:rPr>
      </w:pPr>
      <w:r w:rsidRPr="0001188C">
        <w:rPr>
          <w:i/>
        </w:rPr>
        <w:fldChar w:fldCharType="begin"/>
      </w:r>
      <w:r w:rsidRPr="0001188C">
        <w:rPr>
          <w:i/>
        </w:rPr>
        <w:instrText xml:space="preserve"> TC"(</w:instrText>
      </w:r>
      <w:bookmarkStart w:id="2" w:name="DocNumber"/>
      <w:r w:rsidRPr="0001188C">
        <w:rPr>
          <w:i/>
        </w:rPr>
        <w:instrText>A10-0220/2025</w:instrText>
      </w:r>
      <w:bookmarkEnd w:id="2"/>
      <w:r w:rsidRPr="0001188C">
        <w:rPr>
          <w:i/>
        </w:rPr>
        <w:instrText xml:space="preserve"> - Raportöör: Esther Herranz García)"\l3 \n&gt; \* MERGEFORMAT </w:instrText>
      </w:r>
      <w:r w:rsidRPr="0001188C">
        <w:rPr>
          <w:i/>
        </w:rPr>
        <w:fldChar w:fldCharType="end"/>
      </w:r>
    </w:p>
    <w:p w14:paraId="4DB18219" w14:textId="77777777" w:rsidR="008547F6" w:rsidRPr="0001188C" w:rsidRDefault="008547F6" w:rsidP="008547F6">
      <w:pPr>
        <w:rPr>
          <w:vanish/>
        </w:rPr>
      </w:pPr>
      <w:bookmarkStart w:id="3" w:name="Commission"/>
      <w:r w:rsidRPr="0001188C">
        <w:rPr>
          <w:vanish/>
        </w:rPr>
        <w:t>Põllumajanduse ja maaelu arengu komisjon</w:t>
      </w:r>
      <w:bookmarkEnd w:id="3"/>
    </w:p>
    <w:p w14:paraId="2DD8D971" w14:textId="77777777" w:rsidR="008547F6" w:rsidRPr="0001188C" w:rsidRDefault="008547F6" w:rsidP="008547F6">
      <w:pPr>
        <w:rPr>
          <w:vanish/>
        </w:rPr>
      </w:pPr>
      <w:bookmarkStart w:id="4" w:name="PE"/>
      <w:r w:rsidRPr="0001188C">
        <w:rPr>
          <w:vanish/>
        </w:rPr>
        <w:t>PE774.316</w:t>
      </w:r>
      <w:bookmarkEnd w:id="4"/>
    </w:p>
    <w:p w14:paraId="731A8E27" w14:textId="578F9A6F" w:rsidR="008547F6" w:rsidRPr="0001188C" w:rsidRDefault="008547F6" w:rsidP="008547F6">
      <w:pPr>
        <w:pStyle w:val="ATHeading3"/>
      </w:pPr>
      <w:bookmarkStart w:id="5" w:name="Sujet"/>
      <w:r w:rsidRPr="0001188C">
        <w:t xml:space="preserve">Euroopa Parlamendi </w:t>
      </w:r>
      <w:r w:rsidR="00002E24" w:rsidRPr="0001188C">
        <w:t>10</w:t>
      </w:r>
      <w:r w:rsidRPr="0001188C">
        <w:t>.</w:t>
      </w:r>
      <w:r w:rsidR="00002E24" w:rsidRPr="0001188C">
        <w:t> veebruari</w:t>
      </w:r>
      <w:r w:rsidRPr="0001188C">
        <w:t xml:space="preserve"> 2026.</w:t>
      </w:r>
      <w:r w:rsidR="00002E24" w:rsidRPr="0001188C">
        <w:t> </w:t>
      </w:r>
      <w:r w:rsidRPr="0001188C">
        <w:t>aasta seadusandlik resolutsioon ettepaneku kohta võtta vastu Euroopa Parlamendi ja nõukogu määrus, millega muudetakse määrusi (EL) nr 1308/2013, (EL) 2021/2115 ja (EL) nr 251/2014 teatavate turureeglite ja valdkondlike toetusmeetmete osas veinisektoris ja aromatiseeritud veinitoodete puhul</w:t>
      </w:r>
      <w:bookmarkEnd w:id="5"/>
      <w:r w:rsidRPr="0001188C">
        <w:t xml:space="preserve"> </w:t>
      </w:r>
      <w:bookmarkStart w:id="6" w:name="References"/>
      <w:r w:rsidRPr="0001188C">
        <w:t>(COM(2025)0137 – C10-0058/2025 – 2025/0071(COD))</w:t>
      </w:r>
      <w:bookmarkEnd w:id="6"/>
    </w:p>
    <w:p w14:paraId="6556A83A" w14:textId="77777777" w:rsidR="00C074AB" w:rsidRPr="0001188C" w:rsidRDefault="00C074AB" w:rsidP="00C074AB">
      <w:pPr>
        <w:pStyle w:val="NormalBold"/>
      </w:pPr>
      <w:r w:rsidRPr="0001188C">
        <w:t>(Seadusandlik tavamenetlus: esimene lugemine)</w:t>
      </w:r>
    </w:p>
    <w:p w14:paraId="4880B693" w14:textId="77777777" w:rsidR="00C074AB" w:rsidRPr="0001188C" w:rsidRDefault="00C074AB" w:rsidP="00C074AB">
      <w:pPr>
        <w:pStyle w:val="EPComma"/>
      </w:pPr>
      <w:r w:rsidRPr="0001188C">
        <w:rPr>
          <w:i/>
        </w:rPr>
        <w:t>Euroopa Parlament</w:t>
      </w:r>
      <w:r w:rsidRPr="0001188C">
        <w:t>,</w:t>
      </w:r>
    </w:p>
    <w:p w14:paraId="0CE908C3" w14:textId="77777777" w:rsidR="00C074AB" w:rsidRPr="0001188C" w:rsidRDefault="00C074AB" w:rsidP="00C074AB">
      <w:pPr>
        <w:pStyle w:val="NormalHanging12a"/>
      </w:pPr>
      <w:r w:rsidRPr="0001188C">
        <w:t>–</w:t>
      </w:r>
      <w:r w:rsidRPr="0001188C">
        <w:tab/>
        <w:t>võttes arvesse komisjoni ettepanekut Euroopa Parlamendile ja nõukogule (COM(2025)0137),</w:t>
      </w:r>
    </w:p>
    <w:p w14:paraId="6301CEC5" w14:textId="77777777" w:rsidR="00C074AB" w:rsidRPr="0001188C" w:rsidRDefault="00C074AB" w:rsidP="00C074AB">
      <w:pPr>
        <w:pStyle w:val="NormalHanging12a"/>
      </w:pPr>
      <w:r w:rsidRPr="0001188C">
        <w:t>–</w:t>
      </w:r>
      <w:r w:rsidRPr="0001188C">
        <w:tab/>
        <w:t>võttes arvesse Euroopa Liidu toimimise lepingu artikli 294 lõiget 2, artikli 42 esimest lõiku ja artikli 43 lõiget 2, mille alusel komisjon esitas ettepaneku Euroopa Parlamendile (C10</w:t>
      </w:r>
      <w:r w:rsidRPr="0001188C">
        <w:noBreakHyphen/>
        <w:t>0058/2025),</w:t>
      </w:r>
    </w:p>
    <w:p w14:paraId="576642AB" w14:textId="77777777" w:rsidR="00C074AB" w:rsidRPr="0001188C" w:rsidRDefault="00C074AB" w:rsidP="00C074AB">
      <w:pPr>
        <w:pStyle w:val="NormalHanging12a"/>
      </w:pPr>
      <w:r w:rsidRPr="0001188C">
        <w:t>–</w:t>
      </w:r>
      <w:r w:rsidRPr="0001188C">
        <w:tab/>
        <w:t>võttes arvesse Euroopa Liidu toimimise lepingu artikli 294 lõiget 3,</w:t>
      </w:r>
    </w:p>
    <w:p w14:paraId="09187191" w14:textId="016C1E5F" w:rsidR="00C074AB" w:rsidRPr="0001188C" w:rsidRDefault="00C074AB" w:rsidP="00C074AB">
      <w:pPr>
        <w:pStyle w:val="NormalHanging12a"/>
      </w:pPr>
      <w:r w:rsidRPr="0001188C">
        <w:t>–</w:t>
      </w:r>
      <w:r w:rsidRPr="0001188C">
        <w:tab/>
        <w:t>võttes arvesse Euroopa Majandus- ja Sotsiaalkomitee 17.</w:t>
      </w:r>
      <w:r w:rsidR="00002E24" w:rsidRPr="0001188C">
        <w:t> </w:t>
      </w:r>
      <w:r w:rsidRPr="0001188C">
        <w:t>juuli 2025. aasta arvamust</w:t>
      </w:r>
      <w:r w:rsidRPr="0001188C">
        <w:rPr>
          <w:rStyle w:val="FootnoteReference"/>
        </w:rPr>
        <w:footnoteReference w:id="1"/>
      </w:r>
      <w:r w:rsidRPr="0001188C">
        <w:t>,</w:t>
      </w:r>
    </w:p>
    <w:p w14:paraId="09C97A2E" w14:textId="1BE91265" w:rsidR="00C074AB" w:rsidRPr="0001188C" w:rsidRDefault="00C074AB" w:rsidP="00C074AB">
      <w:pPr>
        <w:pStyle w:val="NormalHanging12a"/>
      </w:pPr>
      <w:r w:rsidRPr="0001188C">
        <w:t>–</w:t>
      </w:r>
      <w:r w:rsidRPr="0001188C">
        <w:tab/>
        <w:t xml:space="preserve">võttes arvesse Regioonide Komitee </w:t>
      </w:r>
      <w:r w:rsidR="00002E24" w:rsidRPr="0001188C">
        <w:t>2</w:t>
      </w:r>
      <w:r w:rsidRPr="0001188C">
        <w:t>.</w:t>
      </w:r>
      <w:r w:rsidR="00002E24" w:rsidRPr="0001188C">
        <w:t> </w:t>
      </w:r>
      <w:r w:rsidRPr="0001188C">
        <w:t>juuli 2025. aasta arvamust</w:t>
      </w:r>
      <w:r w:rsidRPr="0001188C">
        <w:rPr>
          <w:rStyle w:val="FootnoteReference"/>
        </w:rPr>
        <w:footnoteReference w:id="2"/>
      </w:r>
      <w:r w:rsidRPr="0001188C">
        <w:t>,</w:t>
      </w:r>
    </w:p>
    <w:p w14:paraId="671CF08E" w14:textId="0B1087D9" w:rsidR="007277F3" w:rsidRPr="0001188C" w:rsidRDefault="007277F3" w:rsidP="00C074AB">
      <w:pPr>
        <w:pStyle w:val="NormalHanging12a"/>
      </w:pPr>
      <w:r w:rsidRPr="0001188C">
        <w:t>–</w:t>
      </w:r>
      <w:r w:rsidRPr="0001188C">
        <w:tab/>
        <w:t>võttes arvesse vastutava komisjoni poolt kodukorra artikli 75 lõike 4 alusel heaks kiidetud esialgset kokkulepet ja nõukogu esindaja poolt 16. detsembri 2025. aasta kirjas võetud kohustust kiita Euroopa Parlamendi seisukoht heaks vastavalt Euroopa Liidu toimimise lepingu artikli 294 lõikele 4,</w:t>
      </w:r>
    </w:p>
    <w:p w14:paraId="1160FA86" w14:textId="77777777" w:rsidR="00C074AB" w:rsidRPr="0001188C" w:rsidRDefault="00C074AB" w:rsidP="00C074AB">
      <w:pPr>
        <w:pStyle w:val="NormalHanging12a"/>
      </w:pPr>
      <w:r w:rsidRPr="0001188C">
        <w:t>–</w:t>
      </w:r>
      <w:r w:rsidRPr="0001188C">
        <w:tab/>
        <w:t>võttes arvesse kodukorra artiklit 60,</w:t>
      </w:r>
    </w:p>
    <w:p w14:paraId="5077A8EA" w14:textId="77777777" w:rsidR="00C074AB" w:rsidRPr="0001188C" w:rsidRDefault="00C074AB" w:rsidP="00C074AB">
      <w:pPr>
        <w:pStyle w:val="NormalHanging12a"/>
      </w:pPr>
      <w:r w:rsidRPr="0001188C">
        <w:lastRenderedPageBreak/>
        <w:t>–</w:t>
      </w:r>
      <w:r w:rsidRPr="0001188C">
        <w:tab/>
        <w:t>võttes arvesse põllumajanduse ja maaelu arengu komisjoni raportit (A10-0220/2025),</w:t>
      </w:r>
    </w:p>
    <w:p w14:paraId="199808BB" w14:textId="77777777" w:rsidR="00C074AB" w:rsidRPr="0001188C" w:rsidRDefault="00C074AB" w:rsidP="00C074AB">
      <w:pPr>
        <w:pStyle w:val="NormalHanging12a"/>
      </w:pPr>
      <w:r w:rsidRPr="0001188C">
        <w:t>1.</w:t>
      </w:r>
      <w:r w:rsidRPr="0001188C">
        <w:tab/>
        <w:t>võtab vastu allpool toodud esimese lugemise seisukoha;</w:t>
      </w:r>
    </w:p>
    <w:p w14:paraId="472AD932" w14:textId="6C75613D" w:rsidR="007277F3" w:rsidRPr="0001188C" w:rsidRDefault="007277F3" w:rsidP="00C074AB">
      <w:pPr>
        <w:pStyle w:val="NormalHanging12a"/>
      </w:pPr>
      <w:r w:rsidRPr="0001188C">
        <w:t>2.</w:t>
      </w:r>
      <w:r w:rsidRPr="0001188C">
        <w:tab/>
      </w:r>
      <w:r w:rsidRPr="0001188C">
        <w:rPr>
          <w:szCs w:val="24"/>
        </w:rPr>
        <w:t xml:space="preserve">võtab teadmiseks käesolevale resolutsioonile lisatud komisjoni avalduse, mis avaldatakse </w:t>
      </w:r>
      <w:r w:rsidRPr="0001188C">
        <w:rPr>
          <w:i/>
          <w:iCs/>
          <w:szCs w:val="24"/>
        </w:rPr>
        <w:t>Euroopa Liidu Teataja</w:t>
      </w:r>
      <w:r w:rsidRPr="0001188C">
        <w:rPr>
          <w:szCs w:val="24"/>
        </w:rPr>
        <w:t xml:space="preserve"> C-seerias;</w:t>
      </w:r>
    </w:p>
    <w:p w14:paraId="78939ABD" w14:textId="57736E7A" w:rsidR="00C074AB" w:rsidRPr="0001188C" w:rsidRDefault="007277F3" w:rsidP="00C074AB">
      <w:pPr>
        <w:pStyle w:val="NormalHanging12a"/>
      </w:pPr>
      <w:r w:rsidRPr="0001188C">
        <w:t>3</w:t>
      </w:r>
      <w:r w:rsidR="00C074AB" w:rsidRPr="0001188C">
        <w:t>.</w:t>
      </w:r>
      <w:r w:rsidR="00C074AB" w:rsidRPr="0001188C">
        <w:tab/>
        <w:t>palub komisjonil ettepaneku uuesti Euroopa Parlamendile saata, kui komisjon asendab selle uue ettepanekuga, muudab seda oluliselt või kavatseb seda oluliselt muuta;</w:t>
      </w:r>
    </w:p>
    <w:p w14:paraId="295A2520" w14:textId="02622A99" w:rsidR="00C074AB" w:rsidRPr="0001188C" w:rsidRDefault="007277F3" w:rsidP="00002E24">
      <w:pPr>
        <w:pStyle w:val="NormalHanging12a"/>
      </w:pPr>
      <w:r w:rsidRPr="0001188C">
        <w:t>4</w:t>
      </w:r>
      <w:r w:rsidR="00C074AB" w:rsidRPr="0001188C">
        <w:t>.</w:t>
      </w:r>
      <w:r w:rsidR="00C074AB" w:rsidRPr="0001188C">
        <w:tab/>
        <w:t>teeb presidendile ülesandeks edastada Euroopa Parlamendi seisukoht nõukogule ja komisjonile ning liikmesriikide parlamentidele.</w:t>
      </w:r>
    </w:p>
    <w:p w14:paraId="3B7F404A" w14:textId="77777777" w:rsidR="00002E24" w:rsidRPr="0001188C" w:rsidRDefault="00002E24" w:rsidP="00002E24">
      <w:pPr>
        <w:pStyle w:val="NormalHanging12a"/>
      </w:pPr>
    </w:p>
    <w:p w14:paraId="3FE86E34" w14:textId="77777777" w:rsidR="00002E24" w:rsidRPr="0001188C" w:rsidRDefault="00002E24" w:rsidP="00C074AB">
      <w:pPr>
        <w:pStyle w:val="AMNumberTabs0"/>
        <w:keepNext/>
        <w:sectPr w:rsidR="00002E24" w:rsidRPr="0001188C" w:rsidSect="007B29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C98761" w14:textId="77777777" w:rsidR="007277F3" w:rsidRPr="0001188C" w:rsidRDefault="007277F3" w:rsidP="007277F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1188C">
        <w:rPr>
          <w:b/>
          <w:bCs/>
          <w:color w:val="000000"/>
        </w:rPr>
        <w:lastRenderedPageBreak/>
        <w:t>P10_TC1-COD(2025)0071</w:t>
      </w:r>
    </w:p>
    <w:p w14:paraId="40DE4EE8" w14:textId="5909D9D7" w:rsidR="007277F3" w:rsidRDefault="007277F3" w:rsidP="007277F3">
      <w:pPr>
        <w:spacing w:after="240"/>
        <w:rPr>
          <w:rFonts w:eastAsia="Aptos"/>
          <w:b/>
          <w:i/>
          <w:kern w:val="2"/>
          <w:szCs w:val="24"/>
          <w:lang w:eastAsia="en-US"/>
          <w14:ligatures w14:val="standardContextual"/>
        </w:rPr>
      </w:pPr>
      <w:r w:rsidRPr="0001188C">
        <w:rPr>
          <w:b/>
          <w:noProof/>
        </w:rPr>
        <w:t>Euroopa Parlamendi seisukoht, vastu võetud esimesel lugemisel 10. veebruaril 2026. aastal eesmärgiga võtta vastu Euroopa Parlamendi ja nõukogu määrus (</w:t>
      </w:r>
      <w:r w:rsidRPr="0001188C">
        <w:rPr>
          <w:b/>
        </w:rPr>
        <w:t xml:space="preserve">EL) 2026/…, </w:t>
      </w:r>
      <w:r w:rsidRPr="0001188C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millega muudetakse määrusi (EL) nr 1308/2013, (EL) nr 251/2014 ja (EL) 2021/2115 teatavate turureeglite ja valdkondlike toetusmeetmete kohta veinisektoris ja aromatiseeritud </w:t>
      </w:r>
      <w:r w:rsidRPr="00BD3A99">
        <w:rPr>
          <w:rFonts w:eastAsia="Aptos"/>
          <w:b/>
          <w:kern w:val="2"/>
          <w:szCs w:val="24"/>
          <w:lang w:eastAsia="en-US"/>
          <w14:ligatures w14:val="standardContextual"/>
        </w:rPr>
        <w:t>veinitoodete puhul ning määrust (EL) 2024/1143 piiritusjookide teatavate märgistamisreeglite kohta</w:t>
      </w:r>
    </w:p>
    <w:p w14:paraId="6FA5E37F" w14:textId="04923E41" w:rsidR="00BD3A99" w:rsidRPr="006D4016" w:rsidRDefault="00BD3A99" w:rsidP="00BD3A99">
      <w:pPr>
        <w:rPr>
          <w:i/>
        </w:rPr>
      </w:pPr>
      <w:r w:rsidRPr="006D4016">
        <w:rPr>
          <w:i/>
        </w:rPr>
        <w:t xml:space="preserve">(Kuna Euroopa Parlament ja nõukogu jõudsid kokkuleppele, vastab Euroopa Parlamendi seisukoht </w:t>
      </w:r>
      <w:r w:rsidRPr="00BD3A99">
        <w:rPr>
          <w:i/>
        </w:rPr>
        <w:t>õigusakti (määrus (EL) 2026/471 lõplikule kujule).</w:t>
      </w:r>
    </w:p>
    <w:p w14:paraId="24CF839C" w14:textId="0C7325C6" w:rsidR="007277F3" w:rsidRPr="0001188C" w:rsidRDefault="007277F3" w:rsidP="007277F3">
      <w:pPr>
        <w:widowControl/>
        <w:tabs>
          <w:tab w:val="left" w:pos="5669"/>
        </w:tabs>
        <w:spacing w:line="360" w:lineRule="auto"/>
        <w:rPr>
          <w:rFonts w:eastAsia="Aptos"/>
          <w:i/>
          <w:kern w:val="2"/>
          <w:szCs w:val="24"/>
          <w:lang w:eastAsia="en-US"/>
          <w14:ligatures w14:val="standardContextual"/>
        </w:rPr>
        <w:sectPr w:rsidR="007277F3" w:rsidRPr="0001188C" w:rsidSect="007B294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5EA678" w14:textId="149F6AF8" w:rsidR="00E365E1" w:rsidRPr="0001188C" w:rsidRDefault="007277F3" w:rsidP="007277F3">
      <w:pPr>
        <w:widowControl/>
        <w:tabs>
          <w:tab w:val="left" w:pos="5669"/>
        </w:tabs>
        <w:spacing w:before="120" w:after="120" w:line="360" w:lineRule="auto"/>
        <w:jc w:val="right"/>
      </w:pPr>
      <w:r w:rsidRPr="0001188C">
        <w:lastRenderedPageBreak/>
        <w:t>SEADUSANDLIKU RESOLUTSIOONI LISA</w:t>
      </w:r>
    </w:p>
    <w:p w14:paraId="5C071AE0" w14:textId="77777777" w:rsidR="007277F3" w:rsidRPr="0001188C" w:rsidRDefault="007277F3" w:rsidP="007277F3">
      <w:pPr>
        <w:widowControl/>
        <w:tabs>
          <w:tab w:val="left" w:pos="5669"/>
        </w:tabs>
        <w:spacing w:before="120" w:after="120" w:line="360" w:lineRule="auto"/>
      </w:pPr>
    </w:p>
    <w:p w14:paraId="2D3BA001" w14:textId="268DB874" w:rsidR="007277F3" w:rsidRPr="0001188C" w:rsidRDefault="007277F3" w:rsidP="007277F3">
      <w:pPr>
        <w:spacing w:before="120" w:after="120" w:line="360" w:lineRule="auto"/>
        <w:jc w:val="center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01188C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Komisjoni avaldus seoses Euroopa Parlamendi ja nõukogu </w:t>
      </w:r>
      <w:r w:rsidR="00BD3A99">
        <w:rPr>
          <w:rFonts w:eastAsia="Aptos"/>
          <w:iCs/>
          <w:kern w:val="2"/>
          <w:szCs w:val="24"/>
          <w:lang w:eastAsia="en-US"/>
          <w14:ligatures w14:val="standardContextual"/>
        </w:rPr>
        <w:t>24. veebruari</w:t>
      </w:r>
      <w:r w:rsidRPr="0001188C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2026. aasta määruse (EL) 2026/</w:t>
      </w:r>
      <w:r w:rsidR="00BD3A99">
        <w:rPr>
          <w:rFonts w:eastAsia="Aptos"/>
          <w:iCs/>
          <w:kern w:val="2"/>
          <w:szCs w:val="24"/>
          <w:lang w:eastAsia="en-US"/>
          <w14:ligatures w14:val="standardContextual"/>
        </w:rPr>
        <w:t>471</w:t>
      </w:r>
      <w:r w:rsidR="001349D7">
        <w:rPr>
          <w:rStyle w:val="FootnoteReference"/>
          <w:rFonts w:eastAsia="Aptos"/>
          <w:iCs/>
          <w:kern w:val="2"/>
          <w:szCs w:val="24"/>
          <w:lang w:eastAsia="en-US"/>
          <w14:ligatures w14:val="standardContextual"/>
        </w:rPr>
        <w:footnoteReference w:id="3"/>
      </w:r>
      <w:r w:rsidRPr="0001188C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vastuvõtmisega, millega muudetakse määrusi (EL) nr 1308/2013, (EL) nr 251/2014 ja (EL) 2021/2115 teatavate turureeglite ja valdkondlike toetusmeetmete kohta veinisektoris ja aromatiseeritud veinitoodete puhul ning määrust (EL) 2024/1143 piiritusjookide teatavate märgistamisreeglite kohta</w:t>
      </w:r>
    </w:p>
    <w:p w14:paraId="666FB677" w14:textId="1DFA1CD6" w:rsidR="007277F3" w:rsidRPr="0001188C" w:rsidRDefault="007277F3" w:rsidP="007277F3">
      <w:pPr>
        <w:widowControl/>
        <w:tabs>
          <w:tab w:val="left" w:pos="5669"/>
        </w:tabs>
        <w:spacing w:before="120" w:after="120" w:line="360" w:lineRule="auto"/>
        <w:rPr>
          <w:iCs/>
        </w:rPr>
      </w:pPr>
      <w:r w:rsidRPr="0001188C">
        <w:rPr>
          <w:iCs/>
        </w:rPr>
        <w:t>Komisjon teeb kõik endast oleneva, et esitada 2026. aastal asjaomasele eksperdirühmale või komiteele:</w:t>
      </w:r>
    </w:p>
    <w:p w14:paraId="66B7D29D" w14:textId="77777777" w:rsidR="007277F3" w:rsidRPr="0001188C" w:rsidRDefault="007277F3" w:rsidP="007277F3">
      <w:pPr>
        <w:widowControl/>
        <w:numPr>
          <w:ilvl w:val="0"/>
          <w:numId w:val="45"/>
        </w:numPr>
        <w:tabs>
          <w:tab w:val="left" w:pos="5669"/>
        </w:tabs>
        <w:spacing w:before="120" w:after="120" w:line="360" w:lineRule="auto"/>
        <w:ind w:left="851" w:hanging="851"/>
        <w:rPr>
          <w:iCs/>
        </w:rPr>
      </w:pPr>
      <w:r w:rsidRPr="0001188C">
        <w:rPr>
          <w:iCs/>
        </w:rPr>
        <w:t xml:space="preserve">rakendusakti eelnõu, millega muudetakse määrust (EL) 2018/274 seoses võimalusega pikendada kõnealuse määruse artiklis 9 sätestatud </w:t>
      </w:r>
      <w:proofErr w:type="spellStart"/>
      <w:r w:rsidRPr="0001188C">
        <w:rPr>
          <w:b/>
          <w:iCs/>
        </w:rPr>
        <w:t>taasistutuslubade</w:t>
      </w:r>
      <w:proofErr w:type="spellEnd"/>
      <w:r w:rsidRPr="0001188C">
        <w:rPr>
          <w:b/>
          <w:iCs/>
        </w:rPr>
        <w:t xml:space="preserve"> andmise lihtsustatud menetluse</w:t>
      </w:r>
      <w:r w:rsidRPr="0001188C">
        <w:rPr>
          <w:iCs/>
        </w:rPr>
        <w:t xml:space="preserve"> kohaldamist.</w:t>
      </w:r>
    </w:p>
    <w:p w14:paraId="3517B3A4" w14:textId="77777777" w:rsidR="007277F3" w:rsidRPr="0001188C" w:rsidRDefault="007277F3" w:rsidP="007277F3">
      <w:pPr>
        <w:widowControl/>
        <w:numPr>
          <w:ilvl w:val="0"/>
          <w:numId w:val="45"/>
        </w:numPr>
        <w:tabs>
          <w:tab w:val="left" w:pos="5669"/>
        </w:tabs>
        <w:spacing w:before="120" w:after="120" w:line="360" w:lineRule="auto"/>
        <w:ind w:left="851" w:hanging="851"/>
        <w:rPr>
          <w:iCs/>
        </w:rPr>
      </w:pPr>
      <w:r w:rsidRPr="0001188C">
        <w:rPr>
          <w:iCs/>
        </w:rPr>
        <w:t xml:space="preserve">komisjoni delegeeritud määruse (EL) 2019/33 muudatusettepaneku eelnõu, et määrata kindlaks liidu süsteem viinamarjasaaduste pakendil või märgistusel oleva teabe esitamiseks </w:t>
      </w:r>
      <w:r w:rsidRPr="0001188C">
        <w:rPr>
          <w:b/>
          <w:iCs/>
        </w:rPr>
        <w:t>elektrooniliste vahendite abil</w:t>
      </w:r>
      <w:r w:rsidRPr="0001188C">
        <w:rPr>
          <w:iCs/>
        </w:rPr>
        <w:t xml:space="preserve"> kooskõlas määruse (EL) nr 1308/2013 artikli 119 lõigetega 4 ja 5;</w:t>
      </w:r>
    </w:p>
    <w:p w14:paraId="695375EA" w14:textId="77777777" w:rsidR="007277F3" w:rsidRPr="0001188C" w:rsidRDefault="007277F3" w:rsidP="007277F3">
      <w:pPr>
        <w:widowControl/>
        <w:numPr>
          <w:ilvl w:val="0"/>
          <w:numId w:val="45"/>
        </w:numPr>
        <w:tabs>
          <w:tab w:val="left" w:pos="5669"/>
        </w:tabs>
        <w:spacing w:before="120" w:after="120" w:line="360" w:lineRule="auto"/>
        <w:ind w:left="851" w:hanging="851"/>
        <w:rPr>
          <w:iCs/>
        </w:rPr>
      </w:pPr>
      <w:r w:rsidRPr="0001188C">
        <w:rPr>
          <w:iCs/>
        </w:rPr>
        <w:t xml:space="preserve">komisjoni delegeeritud määruse (EL) 2019/934 muudatusettepaneku eelnõu, et lisada </w:t>
      </w:r>
      <w:r w:rsidRPr="0001188C">
        <w:rPr>
          <w:b/>
          <w:iCs/>
        </w:rPr>
        <w:t>mõiste „kupaaž“</w:t>
      </w:r>
      <w:r w:rsidRPr="0001188C">
        <w:rPr>
          <w:iCs/>
        </w:rPr>
        <w:t xml:space="preserve"> (segamine) määratlusse võimalus segada </w:t>
      </w:r>
      <w:proofErr w:type="spellStart"/>
      <w:r w:rsidRPr="0001188C">
        <w:rPr>
          <w:iCs/>
        </w:rPr>
        <w:t>alkoholitustatud</w:t>
      </w:r>
      <w:proofErr w:type="spellEnd"/>
      <w:r w:rsidRPr="0001188C">
        <w:rPr>
          <w:iCs/>
        </w:rPr>
        <w:t xml:space="preserve"> või osaliselt </w:t>
      </w:r>
      <w:proofErr w:type="spellStart"/>
      <w:r w:rsidRPr="0001188C">
        <w:rPr>
          <w:iCs/>
        </w:rPr>
        <w:t>alkoholitustatud</w:t>
      </w:r>
      <w:proofErr w:type="spellEnd"/>
      <w:r w:rsidRPr="0001188C">
        <w:rPr>
          <w:iCs/>
        </w:rPr>
        <w:t xml:space="preserve"> veine vaiksete veinidega, et toota osaliselt </w:t>
      </w:r>
      <w:proofErr w:type="spellStart"/>
      <w:r w:rsidRPr="0001188C">
        <w:rPr>
          <w:iCs/>
        </w:rPr>
        <w:t>alkoholitustatud</w:t>
      </w:r>
      <w:proofErr w:type="spellEnd"/>
      <w:r w:rsidRPr="0001188C">
        <w:rPr>
          <w:iCs/>
        </w:rPr>
        <w:t xml:space="preserve"> veine;</w:t>
      </w:r>
    </w:p>
    <w:p w14:paraId="4537718A" w14:textId="2AF8B7EA" w:rsidR="007277F3" w:rsidRPr="0001188C" w:rsidRDefault="007277F3" w:rsidP="007277F3">
      <w:pPr>
        <w:widowControl/>
        <w:tabs>
          <w:tab w:val="left" w:pos="5669"/>
        </w:tabs>
        <w:spacing w:before="120" w:after="120" w:line="360" w:lineRule="auto"/>
        <w:ind w:left="851" w:hanging="851"/>
      </w:pPr>
      <w:r w:rsidRPr="0001188C">
        <w:rPr>
          <w:iCs/>
        </w:rPr>
        <w:t>4)</w:t>
      </w:r>
      <w:r w:rsidRPr="0001188C">
        <w:rPr>
          <w:iCs/>
        </w:rPr>
        <w:tab/>
        <w:t xml:space="preserve">delegeeritud õigusakti eelnõu, milles sätestatakse </w:t>
      </w:r>
      <w:r w:rsidRPr="0001188C">
        <w:rPr>
          <w:b/>
          <w:iCs/>
        </w:rPr>
        <w:t>mahajäetud viinamarjaistanduste väljajuurimise</w:t>
      </w:r>
      <w:r w:rsidRPr="0001188C">
        <w:rPr>
          <w:iCs/>
        </w:rPr>
        <w:t xml:space="preserve"> tingimused, millele on osutatud määruse (EL) nr 1308/2013 uue artikli 62 lõikes 6.</w:t>
      </w:r>
    </w:p>
    <w:sectPr w:rsidR="007277F3" w:rsidRPr="0001188C" w:rsidSect="007B294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F8267" w14:textId="77777777" w:rsidR="008547F6" w:rsidRPr="007B294B" w:rsidRDefault="008547F6">
      <w:r w:rsidRPr="007B294B">
        <w:separator/>
      </w:r>
    </w:p>
  </w:endnote>
  <w:endnote w:type="continuationSeparator" w:id="0">
    <w:p w14:paraId="2DFE86B3" w14:textId="77777777" w:rsidR="008547F6" w:rsidRPr="007B294B" w:rsidRDefault="008547F6">
      <w:r w:rsidRPr="007B29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6249" w14:textId="77777777" w:rsidR="00064002" w:rsidRPr="007B29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459C6" w14:textId="77777777" w:rsidR="00064002" w:rsidRPr="007B29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2F0D" w14:textId="77777777" w:rsidR="00064002" w:rsidRPr="007B29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1D896" w14:textId="77777777" w:rsidR="008547F6" w:rsidRPr="007B294B" w:rsidRDefault="008547F6">
      <w:r w:rsidRPr="007B294B">
        <w:separator/>
      </w:r>
    </w:p>
  </w:footnote>
  <w:footnote w:type="continuationSeparator" w:id="0">
    <w:p w14:paraId="363692A5" w14:textId="77777777" w:rsidR="008547F6" w:rsidRPr="007B294B" w:rsidRDefault="008547F6">
      <w:r w:rsidRPr="007B294B">
        <w:continuationSeparator/>
      </w:r>
    </w:p>
  </w:footnote>
  <w:footnote w:id="1">
    <w:p w14:paraId="5706928F" w14:textId="03B44503" w:rsidR="00C074AB" w:rsidRPr="007277F3" w:rsidRDefault="00C074AB" w:rsidP="007B294B">
      <w:pPr>
        <w:pStyle w:val="FootnoteText"/>
        <w:ind w:left="567" w:hanging="567"/>
        <w:rPr>
          <w:sz w:val="24"/>
          <w:szCs w:val="24"/>
          <w:lang w:val="et-EE"/>
        </w:rPr>
      </w:pPr>
      <w:r w:rsidRPr="007277F3">
        <w:rPr>
          <w:rStyle w:val="FootnoteReference"/>
          <w:sz w:val="24"/>
          <w:szCs w:val="24"/>
          <w:lang w:val="et-EE"/>
        </w:rPr>
        <w:footnoteRef/>
      </w:r>
      <w:r w:rsidR="007B294B" w:rsidRPr="007277F3">
        <w:rPr>
          <w:sz w:val="24"/>
          <w:lang w:val="et-EE"/>
        </w:rPr>
        <w:t xml:space="preserve"> </w:t>
      </w:r>
      <w:r w:rsidR="007B294B" w:rsidRPr="007277F3">
        <w:rPr>
          <w:sz w:val="24"/>
          <w:lang w:val="et-EE"/>
        </w:rPr>
        <w:tab/>
      </w:r>
      <w:r w:rsidRPr="007277F3">
        <w:rPr>
          <w:sz w:val="24"/>
          <w:lang w:val="et-EE"/>
        </w:rPr>
        <w:t>ELT C, C/202</w:t>
      </w:r>
      <w:r w:rsidR="00002E24" w:rsidRPr="007277F3">
        <w:rPr>
          <w:sz w:val="24"/>
          <w:lang w:val="et-EE"/>
        </w:rPr>
        <w:t>5</w:t>
      </w:r>
      <w:r w:rsidRPr="007277F3">
        <w:rPr>
          <w:sz w:val="24"/>
          <w:lang w:val="et-EE"/>
        </w:rPr>
        <w:t>/</w:t>
      </w:r>
      <w:r w:rsidR="00002E24" w:rsidRPr="007277F3">
        <w:rPr>
          <w:sz w:val="24"/>
          <w:lang w:val="et-EE"/>
        </w:rPr>
        <w:t>5161</w:t>
      </w:r>
      <w:r w:rsidRPr="007277F3">
        <w:rPr>
          <w:sz w:val="24"/>
          <w:lang w:val="et-EE"/>
        </w:rPr>
        <w:t xml:space="preserve">, </w:t>
      </w:r>
      <w:r w:rsidR="00002E24" w:rsidRPr="007277F3">
        <w:rPr>
          <w:sz w:val="24"/>
          <w:lang w:val="et-EE"/>
        </w:rPr>
        <w:t>2</w:t>
      </w:r>
      <w:r w:rsidR="00E45A9E">
        <w:rPr>
          <w:sz w:val="24"/>
          <w:lang w:val="et-EE"/>
        </w:rPr>
        <w:t>8</w:t>
      </w:r>
      <w:r w:rsidR="00002E24" w:rsidRPr="007277F3">
        <w:rPr>
          <w:sz w:val="24"/>
          <w:lang w:val="et-EE"/>
        </w:rPr>
        <w:t>.10.2025</w:t>
      </w:r>
      <w:r w:rsidRPr="007277F3">
        <w:rPr>
          <w:sz w:val="24"/>
          <w:lang w:val="et-EE"/>
        </w:rPr>
        <w:t xml:space="preserve">, ELI: </w:t>
      </w:r>
      <w:hyperlink r:id="rId1" w:history="1">
        <w:r w:rsidRPr="00F26BEB">
          <w:rPr>
            <w:rStyle w:val="Hyperlink"/>
            <w:sz w:val="24"/>
            <w:lang w:val="et-EE"/>
          </w:rPr>
          <w:t>http://data.europa.eu/eli/C/202</w:t>
        </w:r>
        <w:r w:rsidR="00002E24" w:rsidRPr="00F26BEB">
          <w:rPr>
            <w:rStyle w:val="Hyperlink"/>
            <w:sz w:val="24"/>
            <w:lang w:val="et-EE"/>
          </w:rPr>
          <w:t>5</w:t>
        </w:r>
        <w:r w:rsidRPr="00F26BEB">
          <w:rPr>
            <w:rStyle w:val="Hyperlink"/>
            <w:sz w:val="24"/>
            <w:lang w:val="et-EE"/>
          </w:rPr>
          <w:t>/</w:t>
        </w:r>
        <w:r w:rsidR="00002E24" w:rsidRPr="00F26BEB">
          <w:rPr>
            <w:rStyle w:val="Hyperlink"/>
            <w:sz w:val="24"/>
            <w:lang w:val="et-EE"/>
          </w:rPr>
          <w:t>5161</w:t>
        </w:r>
        <w:r w:rsidRPr="00F26BEB">
          <w:rPr>
            <w:rStyle w:val="Hyperlink"/>
            <w:sz w:val="24"/>
            <w:lang w:val="et-EE"/>
          </w:rPr>
          <w:t>/oj</w:t>
        </w:r>
      </w:hyperlink>
      <w:r w:rsidRPr="007277F3">
        <w:rPr>
          <w:sz w:val="24"/>
          <w:lang w:val="et-EE"/>
        </w:rPr>
        <w:t>.</w:t>
      </w:r>
    </w:p>
  </w:footnote>
  <w:footnote w:id="2">
    <w:p w14:paraId="32316017" w14:textId="71A13BE8" w:rsidR="00C074AB" w:rsidRPr="007277F3" w:rsidRDefault="00C074AB" w:rsidP="007B294B">
      <w:pPr>
        <w:pStyle w:val="FootnoteText"/>
        <w:ind w:left="567" w:hanging="567"/>
        <w:rPr>
          <w:sz w:val="24"/>
          <w:szCs w:val="24"/>
          <w:lang w:val="et-EE"/>
        </w:rPr>
      </w:pPr>
      <w:r w:rsidRPr="007277F3">
        <w:rPr>
          <w:rStyle w:val="FootnoteReference"/>
          <w:sz w:val="24"/>
          <w:szCs w:val="24"/>
          <w:lang w:val="et-EE"/>
        </w:rPr>
        <w:footnoteRef/>
      </w:r>
      <w:r w:rsidR="007B294B" w:rsidRPr="007277F3">
        <w:rPr>
          <w:sz w:val="24"/>
          <w:lang w:val="et-EE"/>
        </w:rPr>
        <w:t xml:space="preserve"> </w:t>
      </w:r>
      <w:r w:rsidR="007B294B" w:rsidRPr="007277F3">
        <w:rPr>
          <w:sz w:val="24"/>
          <w:lang w:val="et-EE"/>
        </w:rPr>
        <w:tab/>
      </w:r>
      <w:r w:rsidRPr="007277F3">
        <w:rPr>
          <w:sz w:val="24"/>
          <w:lang w:val="et-EE"/>
        </w:rPr>
        <w:t>ELT C, C/202</w:t>
      </w:r>
      <w:r w:rsidR="00002E24" w:rsidRPr="007277F3">
        <w:rPr>
          <w:sz w:val="24"/>
          <w:lang w:val="et-EE"/>
        </w:rPr>
        <w:t>5</w:t>
      </w:r>
      <w:r w:rsidRPr="007277F3">
        <w:rPr>
          <w:sz w:val="24"/>
          <w:lang w:val="et-EE"/>
        </w:rPr>
        <w:t>/</w:t>
      </w:r>
      <w:r w:rsidR="00002E24" w:rsidRPr="007277F3">
        <w:rPr>
          <w:sz w:val="24"/>
          <w:lang w:val="et-EE"/>
        </w:rPr>
        <w:t>4418</w:t>
      </w:r>
      <w:r w:rsidRPr="007277F3">
        <w:rPr>
          <w:sz w:val="24"/>
          <w:lang w:val="et-EE"/>
        </w:rPr>
        <w:t xml:space="preserve">, </w:t>
      </w:r>
      <w:r w:rsidR="00002E24" w:rsidRPr="007277F3">
        <w:rPr>
          <w:sz w:val="24"/>
          <w:lang w:val="et-EE"/>
        </w:rPr>
        <w:t>29.8.2025</w:t>
      </w:r>
      <w:r w:rsidRPr="007277F3">
        <w:rPr>
          <w:sz w:val="24"/>
          <w:lang w:val="et-EE"/>
        </w:rPr>
        <w:t xml:space="preserve">, ELI: </w:t>
      </w:r>
      <w:hyperlink r:id="rId2" w:history="1">
        <w:r w:rsidRPr="00F26BEB">
          <w:rPr>
            <w:rStyle w:val="Hyperlink"/>
            <w:sz w:val="24"/>
            <w:lang w:val="et-EE"/>
          </w:rPr>
          <w:t>http://data.europa.eu/eli/C/202</w:t>
        </w:r>
        <w:r w:rsidR="00002E24" w:rsidRPr="00F26BEB">
          <w:rPr>
            <w:rStyle w:val="Hyperlink"/>
            <w:sz w:val="24"/>
            <w:lang w:val="et-EE"/>
          </w:rPr>
          <w:t>5</w:t>
        </w:r>
        <w:r w:rsidRPr="00F26BEB">
          <w:rPr>
            <w:rStyle w:val="Hyperlink"/>
            <w:sz w:val="24"/>
            <w:lang w:val="et-EE"/>
          </w:rPr>
          <w:t>/</w:t>
        </w:r>
        <w:r w:rsidR="00002E24" w:rsidRPr="00F26BEB">
          <w:rPr>
            <w:rStyle w:val="Hyperlink"/>
            <w:sz w:val="24"/>
            <w:lang w:val="et-EE"/>
          </w:rPr>
          <w:t>4418</w:t>
        </w:r>
        <w:r w:rsidRPr="00F26BEB">
          <w:rPr>
            <w:rStyle w:val="Hyperlink"/>
            <w:sz w:val="24"/>
            <w:lang w:val="et-EE"/>
          </w:rPr>
          <w:t>/oj</w:t>
        </w:r>
      </w:hyperlink>
      <w:r w:rsidRPr="007277F3">
        <w:rPr>
          <w:sz w:val="24"/>
          <w:lang w:val="et-EE"/>
        </w:rPr>
        <w:t>.</w:t>
      </w:r>
    </w:p>
  </w:footnote>
  <w:footnote w:id="3">
    <w:p w14:paraId="25EA0BD0" w14:textId="136C8944" w:rsidR="001349D7" w:rsidRPr="00F26BEB" w:rsidRDefault="001349D7" w:rsidP="001349D7">
      <w:pPr>
        <w:pStyle w:val="FootnoteText"/>
        <w:ind w:left="567" w:hanging="567"/>
        <w:rPr>
          <w:sz w:val="24"/>
          <w:szCs w:val="24"/>
          <w:lang w:val="et-EE"/>
        </w:rPr>
      </w:pPr>
      <w:r>
        <w:rPr>
          <w:rStyle w:val="FootnoteReference"/>
        </w:rPr>
        <w:footnoteRef/>
      </w:r>
      <w:r>
        <w:rPr>
          <w:lang w:val="et-EE"/>
        </w:rPr>
        <w:tab/>
      </w:r>
      <w:r w:rsidRPr="00F26BEB">
        <w:rPr>
          <w:sz w:val="24"/>
          <w:szCs w:val="24"/>
          <w:lang w:val="et-EE"/>
        </w:rPr>
        <w:t>ELT</w:t>
      </w:r>
      <w:r w:rsidR="00F26BEB" w:rsidRPr="00F26BEB">
        <w:rPr>
          <w:sz w:val="24"/>
          <w:szCs w:val="24"/>
          <w:lang w:val="et-EE"/>
        </w:rPr>
        <w:t>,</w:t>
      </w:r>
      <w:r w:rsidRPr="00F26BEB">
        <w:rPr>
          <w:sz w:val="24"/>
          <w:szCs w:val="24"/>
          <w:lang w:val="et-EE"/>
        </w:rPr>
        <w:t xml:space="preserve"> 2026/471, 26.2.2026, ELI: </w:t>
      </w:r>
      <w:hyperlink r:id="rId3" w:history="1">
        <w:r w:rsidR="00F26BEB" w:rsidRPr="00F26BEB">
          <w:rPr>
            <w:rStyle w:val="Hyperlink"/>
            <w:sz w:val="24"/>
            <w:szCs w:val="24"/>
            <w:lang w:val="fi-FI"/>
          </w:rPr>
          <w:t>http://data.europa.eu/eli/reg/2026/471/oj</w:t>
        </w:r>
      </w:hyperlink>
      <w:r w:rsidRPr="00F26BEB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9C537" w14:textId="77777777" w:rsidR="00064002" w:rsidRPr="007B29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F6CD" w14:textId="77777777" w:rsidR="00064002" w:rsidRPr="007B29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DAE7B" w14:textId="77777777" w:rsidR="00064002" w:rsidRPr="007B29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7D7F45"/>
    <w:multiLevelType w:val="hybridMultilevel"/>
    <w:tmpl w:val="A866019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4285001">
    <w:abstractNumId w:val="9"/>
  </w:num>
  <w:num w:numId="2" w16cid:durableId="1501040739">
    <w:abstractNumId w:val="9"/>
  </w:num>
  <w:num w:numId="3" w16cid:durableId="30302230">
    <w:abstractNumId w:val="7"/>
  </w:num>
  <w:num w:numId="4" w16cid:durableId="707879407">
    <w:abstractNumId w:val="7"/>
  </w:num>
  <w:num w:numId="5" w16cid:durableId="639381510">
    <w:abstractNumId w:val="6"/>
  </w:num>
  <w:num w:numId="6" w16cid:durableId="1537620973">
    <w:abstractNumId w:val="6"/>
  </w:num>
  <w:num w:numId="7" w16cid:durableId="1320304182">
    <w:abstractNumId w:val="5"/>
  </w:num>
  <w:num w:numId="8" w16cid:durableId="684282137">
    <w:abstractNumId w:val="5"/>
  </w:num>
  <w:num w:numId="9" w16cid:durableId="1491941419">
    <w:abstractNumId w:val="4"/>
  </w:num>
  <w:num w:numId="10" w16cid:durableId="1745371574">
    <w:abstractNumId w:val="4"/>
  </w:num>
  <w:num w:numId="11" w16cid:durableId="1399133165">
    <w:abstractNumId w:val="8"/>
  </w:num>
  <w:num w:numId="12" w16cid:durableId="2012566819">
    <w:abstractNumId w:val="8"/>
  </w:num>
  <w:num w:numId="13" w16cid:durableId="595985346">
    <w:abstractNumId w:val="3"/>
  </w:num>
  <w:num w:numId="14" w16cid:durableId="2131119724">
    <w:abstractNumId w:val="3"/>
  </w:num>
  <w:num w:numId="15" w16cid:durableId="2121214326">
    <w:abstractNumId w:val="2"/>
  </w:num>
  <w:num w:numId="16" w16cid:durableId="477961616">
    <w:abstractNumId w:val="2"/>
  </w:num>
  <w:num w:numId="17" w16cid:durableId="1572110139">
    <w:abstractNumId w:val="1"/>
  </w:num>
  <w:num w:numId="18" w16cid:durableId="763693459">
    <w:abstractNumId w:val="1"/>
  </w:num>
  <w:num w:numId="19" w16cid:durableId="332025416">
    <w:abstractNumId w:val="0"/>
  </w:num>
  <w:num w:numId="20" w16cid:durableId="967508445">
    <w:abstractNumId w:val="0"/>
  </w:num>
  <w:num w:numId="21" w16cid:durableId="996693275">
    <w:abstractNumId w:val="9"/>
  </w:num>
  <w:num w:numId="22" w16cid:durableId="74909466">
    <w:abstractNumId w:val="7"/>
  </w:num>
  <w:num w:numId="23" w16cid:durableId="932274956">
    <w:abstractNumId w:val="6"/>
  </w:num>
  <w:num w:numId="24" w16cid:durableId="1981692205">
    <w:abstractNumId w:val="5"/>
  </w:num>
  <w:num w:numId="25" w16cid:durableId="1068303169">
    <w:abstractNumId w:val="4"/>
  </w:num>
  <w:num w:numId="26" w16cid:durableId="43524665">
    <w:abstractNumId w:val="8"/>
  </w:num>
  <w:num w:numId="27" w16cid:durableId="642855313">
    <w:abstractNumId w:val="3"/>
  </w:num>
  <w:num w:numId="28" w16cid:durableId="2019044525">
    <w:abstractNumId w:val="2"/>
  </w:num>
  <w:num w:numId="29" w16cid:durableId="228536505">
    <w:abstractNumId w:val="1"/>
  </w:num>
  <w:num w:numId="30" w16cid:durableId="2087722298">
    <w:abstractNumId w:val="0"/>
  </w:num>
  <w:num w:numId="31" w16cid:durableId="1621106868">
    <w:abstractNumId w:val="9"/>
  </w:num>
  <w:num w:numId="32" w16cid:durableId="388454329">
    <w:abstractNumId w:val="7"/>
  </w:num>
  <w:num w:numId="33" w16cid:durableId="1762603958">
    <w:abstractNumId w:val="6"/>
  </w:num>
  <w:num w:numId="34" w16cid:durableId="1758672524">
    <w:abstractNumId w:val="5"/>
  </w:num>
  <w:num w:numId="35" w16cid:durableId="396057857">
    <w:abstractNumId w:val="4"/>
  </w:num>
  <w:num w:numId="36" w16cid:durableId="742609803">
    <w:abstractNumId w:val="8"/>
  </w:num>
  <w:num w:numId="37" w16cid:durableId="1755977308">
    <w:abstractNumId w:val="3"/>
  </w:num>
  <w:num w:numId="38" w16cid:durableId="136189667">
    <w:abstractNumId w:val="2"/>
  </w:num>
  <w:num w:numId="39" w16cid:durableId="552889252">
    <w:abstractNumId w:val="1"/>
  </w:num>
  <w:num w:numId="40" w16cid:durableId="1634212448">
    <w:abstractNumId w:val="0"/>
  </w:num>
  <w:num w:numId="41" w16cid:durableId="459954016">
    <w:abstractNumId w:val="10"/>
  </w:num>
  <w:num w:numId="42" w16cid:durableId="1689479153">
    <w:abstractNumId w:val="10"/>
  </w:num>
  <w:num w:numId="43" w16cid:durableId="1446732297">
    <w:abstractNumId w:val="10"/>
  </w:num>
  <w:num w:numId="44" w16cid:durableId="1767000125">
    <w:abstractNumId w:val="11"/>
  </w:num>
  <w:num w:numId="45" w16cid:durableId="886338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ET"/>
    <w:docVar w:name="dvnumam" w:val="91"/>
    <w:docVar w:name="dvpe" w:val="774.316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muudetakse määrusi (EL) nr 1308/2013, (EL) 2021/2115 ja (EL) nr 251/2014 teatavate turureeglite ja valdkondlike toetusmeetmete osas veinisektoris ja aromatiseeritud veinitoodete puhul(COM(2025)0137 – C10-0058/2025 – 2025/0071(COD))"/>
  </w:docVars>
  <w:rsids>
    <w:rsidRoot w:val="008547F6"/>
    <w:rsid w:val="00002272"/>
    <w:rsid w:val="00002E24"/>
    <w:rsid w:val="0001188C"/>
    <w:rsid w:val="00064002"/>
    <w:rsid w:val="000677B9"/>
    <w:rsid w:val="000831BA"/>
    <w:rsid w:val="000A42CC"/>
    <w:rsid w:val="000D3CF1"/>
    <w:rsid w:val="000E7DD9"/>
    <w:rsid w:val="0010095E"/>
    <w:rsid w:val="00125B37"/>
    <w:rsid w:val="001349D7"/>
    <w:rsid w:val="00187494"/>
    <w:rsid w:val="001F32AE"/>
    <w:rsid w:val="00266E30"/>
    <w:rsid w:val="002767FF"/>
    <w:rsid w:val="002B18FE"/>
    <w:rsid w:val="002B5493"/>
    <w:rsid w:val="00343214"/>
    <w:rsid w:val="00361C00"/>
    <w:rsid w:val="00395FA1"/>
    <w:rsid w:val="003E15D4"/>
    <w:rsid w:val="00403EAC"/>
    <w:rsid w:val="00411CCE"/>
    <w:rsid w:val="0041666E"/>
    <w:rsid w:val="00421060"/>
    <w:rsid w:val="00444B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02CD"/>
    <w:rsid w:val="006631B6"/>
    <w:rsid w:val="00680577"/>
    <w:rsid w:val="006F74FA"/>
    <w:rsid w:val="007277F3"/>
    <w:rsid w:val="00731ADD"/>
    <w:rsid w:val="00734777"/>
    <w:rsid w:val="00747932"/>
    <w:rsid w:val="00751A4A"/>
    <w:rsid w:val="00756632"/>
    <w:rsid w:val="00762C74"/>
    <w:rsid w:val="00786EC0"/>
    <w:rsid w:val="007B294B"/>
    <w:rsid w:val="007C2BE0"/>
    <w:rsid w:val="007D1690"/>
    <w:rsid w:val="007E22AD"/>
    <w:rsid w:val="008010C2"/>
    <w:rsid w:val="00817416"/>
    <w:rsid w:val="00842779"/>
    <w:rsid w:val="008547F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BF2"/>
    <w:rsid w:val="00981893"/>
    <w:rsid w:val="00A1687D"/>
    <w:rsid w:val="00A21437"/>
    <w:rsid w:val="00A43E52"/>
    <w:rsid w:val="00A4678D"/>
    <w:rsid w:val="00A5181E"/>
    <w:rsid w:val="00A778C7"/>
    <w:rsid w:val="00A91292"/>
    <w:rsid w:val="00AB441E"/>
    <w:rsid w:val="00AB6293"/>
    <w:rsid w:val="00AE0928"/>
    <w:rsid w:val="00AF3B82"/>
    <w:rsid w:val="00B12E95"/>
    <w:rsid w:val="00B22876"/>
    <w:rsid w:val="00B558F0"/>
    <w:rsid w:val="00BD1A37"/>
    <w:rsid w:val="00BD3A99"/>
    <w:rsid w:val="00BD48FE"/>
    <w:rsid w:val="00BD7BD8"/>
    <w:rsid w:val="00BE6ADC"/>
    <w:rsid w:val="00C05BFE"/>
    <w:rsid w:val="00C074AB"/>
    <w:rsid w:val="00C23CD4"/>
    <w:rsid w:val="00C61C0C"/>
    <w:rsid w:val="00C941CB"/>
    <w:rsid w:val="00CC2357"/>
    <w:rsid w:val="00CF071A"/>
    <w:rsid w:val="00D058B8"/>
    <w:rsid w:val="00D07A16"/>
    <w:rsid w:val="00D56C11"/>
    <w:rsid w:val="00D834A0"/>
    <w:rsid w:val="00D872DF"/>
    <w:rsid w:val="00D91E21"/>
    <w:rsid w:val="00DA7FCD"/>
    <w:rsid w:val="00E365E1"/>
    <w:rsid w:val="00E45A9E"/>
    <w:rsid w:val="00E81985"/>
    <w:rsid w:val="00E820A4"/>
    <w:rsid w:val="00EB006A"/>
    <w:rsid w:val="00EB4772"/>
    <w:rsid w:val="00ED169E"/>
    <w:rsid w:val="00ED4235"/>
    <w:rsid w:val="00F04346"/>
    <w:rsid w:val="00F075DC"/>
    <w:rsid w:val="00F149E9"/>
    <w:rsid w:val="00F26BE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90C8B"/>
  <w15:chartTrackingRefBased/>
  <w15:docId w15:val="{72DD60BB-417B-4BCF-9A22-5CFD7361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074A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074A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074A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074A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074A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074AB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C074AB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C074AB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C074AB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C074A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074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074A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074AB"/>
    <w:pPr>
      <w:spacing w:after="120"/>
    </w:pPr>
  </w:style>
  <w:style w:type="paragraph" w:customStyle="1" w:styleId="PageHeading">
    <w:name w:val="PageHeading"/>
    <w:basedOn w:val="Normal"/>
    <w:rsid w:val="00C074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074A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074AB"/>
    <w:rPr>
      <w:b/>
      <w:sz w:val="24"/>
      <w:lang w:val="et-EE"/>
    </w:rPr>
  </w:style>
  <w:style w:type="paragraph" w:customStyle="1" w:styleId="NormalBold12a">
    <w:name w:val="NormalBold12a"/>
    <w:basedOn w:val="Normal"/>
    <w:rsid w:val="00C074AB"/>
    <w:pPr>
      <w:spacing w:after="240"/>
    </w:pPr>
    <w:rPr>
      <w:b/>
    </w:rPr>
  </w:style>
  <w:style w:type="paragraph" w:customStyle="1" w:styleId="AmJustText">
    <w:name w:val="AmJustText"/>
    <w:basedOn w:val="Normal"/>
    <w:rsid w:val="00C074A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074A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074AB"/>
    <w:pPr>
      <w:spacing w:after="480"/>
      <w:ind w:left="1417"/>
    </w:pPr>
  </w:style>
  <w:style w:type="paragraph" w:customStyle="1" w:styleId="CoverNormal">
    <w:name w:val="CoverNormal"/>
    <w:basedOn w:val="Normal"/>
    <w:rsid w:val="00C074AB"/>
    <w:pPr>
      <w:ind w:left="1418"/>
    </w:pPr>
  </w:style>
  <w:style w:type="paragraph" w:customStyle="1" w:styleId="AmCrossRef">
    <w:name w:val="AmCrossRef"/>
    <w:basedOn w:val="Normal"/>
    <w:rsid w:val="00C074A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074A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074A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074A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074A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074AB"/>
    <w:pPr>
      <w:spacing w:before="240" w:after="1200"/>
    </w:pPr>
  </w:style>
  <w:style w:type="paragraph" w:styleId="Header">
    <w:name w:val="header"/>
    <w:basedOn w:val="Normal"/>
    <w:link w:val="HeaderChar"/>
    <w:rsid w:val="00C074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74AB"/>
    <w:rPr>
      <w:sz w:val="24"/>
      <w:lang w:val="et-EE"/>
    </w:rPr>
  </w:style>
  <w:style w:type="paragraph" w:customStyle="1" w:styleId="AmOrLang">
    <w:name w:val="AmOrLang"/>
    <w:basedOn w:val="Normal"/>
    <w:rsid w:val="00C074A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074A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074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074AB"/>
    <w:pPr>
      <w:spacing w:before="240"/>
    </w:pPr>
    <w:rPr>
      <w:b/>
    </w:rPr>
  </w:style>
  <w:style w:type="paragraph" w:customStyle="1" w:styleId="EPBody">
    <w:name w:val="EPBody"/>
    <w:basedOn w:val="Normal"/>
    <w:rsid w:val="00C074A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074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074AB"/>
    <w:pPr>
      <w:spacing w:before="480" w:after="240"/>
    </w:pPr>
  </w:style>
  <w:style w:type="paragraph" w:customStyle="1" w:styleId="Lgendesigne">
    <w:name w:val="Légende signe"/>
    <w:basedOn w:val="Normal"/>
    <w:rsid w:val="00C074A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074A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074AB"/>
    <w:rPr>
      <w:sz w:val="18"/>
    </w:rPr>
  </w:style>
  <w:style w:type="character" w:customStyle="1" w:styleId="FooterChar">
    <w:name w:val="Footer Char"/>
    <w:basedOn w:val="DefaultParagraphFont"/>
    <w:link w:val="Footer"/>
    <w:rsid w:val="00C074AB"/>
    <w:rPr>
      <w:sz w:val="22"/>
    </w:rPr>
  </w:style>
  <w:style w:type="paragraph" w:styleId="Footer">
    <w:name w:val="footer"/>
    <w:link w:val="FooterChar"/>
    <w:unhideWhenUsed/>
    <w:rsid w:val="00C074A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C074AB"/>
    <w:rPr>
      <w:sz w:val="24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C074AB"/>
    <w:rPr>
      <w:noProof/>
      <w:sz w:val="24"/>
    </w:rPr>
  </w:style>
  <w:style w:type="paragraph" w:customStyle="1" w:styleId="Normal12">
    <w:name w:val="Normal12"/>
    <w:basedOn w:val="Normal"/>
    <w:link w:val="Normal12Char"/>
    <w:rsid w:val="00C074A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074AB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C074AB"/>
    <w:pPr>
      <w:spacing w:after="120"/>
    </w:pPr>
  </w:style>
  <w:style w:type="paragraph" w:customStyle="1" w:styleId="Normal12Italic">
    <w:name w:val="Normal12Italic"/>
    <w:basedOn w:val="Normal12"/>
    <w:rsid w:val="00C074AB"/>
    <w:rPr>
      <w:i/>
    </w:rPr>
  </w:style>
  <w:style w:type="paragraph" w:customStyle="1" w:styleId="Footer2">
    <w:name w:val="Footer2"/>
    <w:basedOn w:val="Normal12"/>
    <w:rsid w:val="00C074A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C074AB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074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074A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074A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074AB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C074AB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C074A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C074AB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C074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74AB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C074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74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74AB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074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74AB"/>
    <w:rPr>
      <w:b/>
      <w:bCs/>
      <w:lang w:val="et-EE"/>
    </w:rPr>
  </w:style>
  <w:style w:type="paragraph" w:customStyle="1" w:styleId="Point1">
    <w:name w:val="Point 1"/>
    <w:basedOn w:val="Normal"/>
    <w:rsid w:val="00C074A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C074AB"/>
    <w:rPr>
      <w:i/>
      <w:iCs/>
    </w:rPr>
  </w:style>
  <w:style w:type="paragraph" w:styleId="Revision">
    <w:name w:val="Revision"/>
    <w:hidden/>
    <w:uiPriority w:val="99"/>
    <w:semiHidden/>
    <w:rsid w:val="00C074AB"/>
    <w:rPr>
      <w:sz w:val="24"/>
      <w:lang w:val="et-EE"/>
    </w:rPr>
  </w:style>
  <w:style w:type="paragraph" w:customStyle="1" w:styleId="Normal12a">
    <w:name w:val="Normal12a"/>
    <w:basedOn w:val="Normal"/>
    <w:rsid w:val="00C074AB"/>
    <w:pPr>
      <w:spacing w:after="240"/>
    </w:pPr>
  </w:style>
  <w:style w:type="paragraph" w:customStyle="1" w:styleId="RollCallVotes">
    <w:name w:val="RollCallVotes"/>
    <w:basedOn w:val="Normal"/>
    <w:rsid w:val="00C074A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074A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074A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074AB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7277F3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7277F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485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SOLTYSOVA Zuzana</cp:lastModifiedBy>
  <cp:revision>3</cp:revision>
  <cp:lastPrinted>2004-11-19T15:42:00Z</cp:lastPrinted>
  <dcterms:created xsi:type="dcterms:W3CDTF">2026-04-16T13:50:00Z</dcterms:created>
  <dcterms:modified xsi:type="dcterms:W3CDTF">2026-04-30T14:52:00Z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