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3A73" w14:paraId="502A36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80E083" w14:textId="77777777" w:rsidR="00751A4A" w:rsidRPr="00633A73" w:rsidRDefault="00081E0E" w:rsidP="00DB0DDD">
            <w:pPr>
              <w:pStyle w:val="EPName"/>
              <w:widowControl/>
            </w:pPr>
            <w:r w:rsidRPr="00633A73">
              <w:t>Euroopan parlamentti</w:t>
            </w:r>
          </w:p>
          <w:p w14:paraId="5531E4B8" w14:textId="77777777" w:rsidR="00751A4A" w:rsidRPr="00633A73" w:rsidRDefault="005F1B17" w:rsidP="00DB0DDD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633A73">
              <w:t>2024</w:t>
            </w:r>
            <w:r w:rsidR="00817416" w:rsidRPr="00633A73">
              <w:t>-202</w:t>
            </w:r>
            <w:r w:rsidRPr="00633A73">
              <w:t>9</w:t>
            </w:r>
          </w:p>
        </w:tc>
        <w:tc>
          <w:tcPr>
            <w:tcW w:w="2268" w:type="dxa"/>
            <w:shd w:val="clear" w:color="auto" w:fill="auto"/>
          </w:tcPr>
          <w:p w14:paraId="76204CAB" w14:textId="77777777" w:rsidR="00751A4A" w:rsidRPr="00633A73" w:rsidRDefault="00187494" w:rsidP="00DB0DDD">
            <w:pPr>
              <w:pStyle w:val="EPLogo"/>
              <w:widowControl/>
            </w:pPr>
            <w:r w:rsidRPr="00633A73">
              <w:rPr>
                <w:noProof/>
                <w:lang w:eastAsia="ja-JP"/>
              </w:rPr>
              <w:drawing>
                <wp:inline distT="0" distB="0" distL="0" distR="0" wp14:anchorId="64A97419" wp14:editId="53D7D6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7BB7EE" w14:textId="77777777" w:rsidR="00D058B8" w:rsidRPr="00633A73" w:rsidRDefault="00D058B8" w:rsidP="00DB0DDD">
      <w:pPr>
        <w:pStyle w:val="LineTop"/>
        <w:widowControl/>
      </w:pPr>
    </w:p>
    <w:p w14:paraId="6B4C1733" w14:textId="77777777" w:rsidR="00680577" w:rsidRPr="00633A73" w:rsidRDefault="00081E0E" w:rsidP="00DB0DDD">
      <w:pPr>
        <w:pStyle w:val="EPBodyTA1"/>
        <w:widowControl/>
      </w:pPr>
      <w:r w:rsidRPr="00633A73">
        <w:t>HYVÄKSYTYT TEKSTIT</w:t>
      </w:r>
    </w:p>
    <w:p w14:paraId="6122F58A" w14:textId="77777777" w:rsidR="00D058B8" w:rsidRPr="00633A73" w:rsidRDefault="00D058B8" w:rsidP="00DB0DDD">
      <w:pPr>
        <w:pStyle w:val="LineBottom"/>
        <w:widowControl/>
      </w:pPr>
    </w:p>
    <w:p w14:paraId="15328C46" w14:textId="478BB951" w:rsidR="00081E0E" w:rsidRPr="00633A73" w:rsidRDefault="00081E0E" w:rsidP="00DB0DDD">
      <w:pPr>
        <w:pStyle w:val="ATHeading1"/>
      </w:pPr>
      <w:bookmarkStart w:id="0" w:name="TANumber"/>
      <w:r w:rsidRPr="00633A73">
        <w:t>P10_TA(2026)00</w:t>
      </w:r>
      <w:r w:rsidR="00CD5747" w:rsidRPr="00633A73">
        <w:t>28</w:t>
      </w:r>
      <w:bookmarkEnd w:id="0"/>
    </w:p>
    <w:p w14:paraId="6CF1C518" w14:textId="233B5B59" w:rsidR="00DB7B9E" w:rsidRPr="00633A73" w:rsidRDefault="00081E0E" w:rsidP="00DB7B9E">
      <w:pPr>
        <w:pStyle w:val="ATHeading2"/>
      </w:pPr>
      <w:bookmarkStart w:id="1" w:name="title"/>
      <w:r w:rsidRPr="00633A73">
        <w:t>Maataloustuotteita koskevien asetusten muuttaminen viinialan ja maustettujen</w:t>
      </w:r>
      <w:r w:rsidR="00DB0DDD" w:rsidRPr="00633A73">
        <w:t xml:space="preserve"> </w:t>
      </w:r>
      <w:r w:rsidRPr="00633A73">
        <w:t>viinituotteiden kaupan pitämistä koskevien sääntöjen ja alakohtaisten</w:t>
      </w:r>
      <w:r w:rsidR="00DB0DDD" w:rsidRPr="00633A73">
        <w:t xml:space="preserve"> </w:t>
      </w:r>
      <w:r w:rsidRPr="00633A73">
        <w:t>tukitoimenpiteiden osalta</w:t>
      </w:r>
      <w:bookmarkEnd w:id="1"/>
    </w:p>
    <w:p w14:paraId="5AF75538" w14:textId="77777777" w:rsidR="00081E0E" w:rsidRPr="00633A73" w:rsidRDefault="00081E0E" w:rsidP="00DB0DDD">
      <w:pPr>
        <w:widowControl/>
        <w:rPr>
          <w:i/>
          <w:vanish/>
        </w:rPr>
      </w:pPr>
      <w:r w:rsidRPr="00633A73">
        <w:rPr>
          <w:i/>
        </w:rPr>
        <w:fldChar w:fldCharType="begin"/>
      </w:r>
      <w:r w:rsidRPr="00633A73">
        <w:rPr>
          <w:i/>
        </w:rPr>
        <w:instrText xml:space="preserve"> TC"(</w:instrText>
      </w:r>
      <w:bookmarkStart w:id="2" w:name="DocNumber"/>
      <w:r w:rsidRPr="00633A73">
        <w:rPr>
          <w:i/>
        </w:rPr>
        <w:instrText>A10-0220/2025</w:instrText>
      </w:r>
      <w:bookmarkEnd w:id="2"/>
      <w:r w:rsidRPr="00633A73">
        <w:rPr>
          <w:i/>
        </w:rPr>
        <w:instrText xml:space="preserve"> - Esittelijä: Esther Herranz García)"\l3 \n&gt; \* MERGEFORMAT </w:instrText>
      </w:r>
      <w:r w:rsidRPr="00633A73">
        <w:rPr>
          <w:i/>
        </w:rPr>
        <w:fldChar w:fldCharType="end"/>
      </w:r>
    </w:p>
    <w:p w14:paraId="5D8D1F68" w14:textId="77777777" w:rsidR="00081E0E" w:rsidRPr="00633A73" w:rsidRDefault="00081E0E" w:rsidP="00DB0DDD">
      <w:pPr>
        <w:widowControl/>
        <w:rPr>
          <w:vanish/>
        </w:rPr>
      </w:pPr>
      <w:bookmarkStart w:id="3" w:name="Commission"/>
      <w:r w:rsidRPr="00633A73">
        <w:rPr>
          <w:vanish/>
        </w:rPr>
        <w:t>Maatalouden ja maaseudun kehittämisen valiokunta</w:t>
      </w:r>
      <w:bookmarkEnd w:id="3"/>
    </w:p>
    <w:p w14:paraId="09FABF5D" w14:textId="77777777" w:rsidR="00081E0E" w:rsidRPr="00633A73" w:rsidRDefault="00081E0E" w:rsidP="00DB0DDD">
      <w:pPr>
        <w:widowControl/>
        <w:rPr>
          <w:vanish/>
        </w:rPr>
      </w:pPr>
      <w:bookmarkStart w:id="4" w:name="PE"/>
      <w:r w:rsidRPr="00633A73">
        <w:rPr>
          <w:vanish/>
        </w:rPr>
        <w:t>PE774.316</w:t>
      </w:r>
      <w:bookmarkEnd w:id="4"/>
    </w:p>
    <w:p w14:paraId="738BF972" w14:textId="5E1EF967" w:rsidR="00081E0E" w:rsidRPr="00633A73" w:rsidRDefault="00081E0E" w:rsidP="00DB0DDD">
      <w:pPr>
        <w:pStyle w:val="ATHeading3"/>
      </w:pPr>
      <w:bookmarkStart w:id="5" w:name="Sujet"/>
      <w:r w:rsidRPr="00633A73">
        <w:t xml:space="preserve">Euroopan parlamentin lainsäädäntöpäätöslauselma </w:t>
      </w:r>
      <w:r w:rsidR="00DB0DDD" w:rsidRPr="00633A73">
        <w:t>10</w:t>
      </w:r>
      <w:r w:rsidRPr="00633A73">
        <w:t>. helmikuuta 2026 ehdotuksesta Euroopan parlamentin ja neuvoston asetukseksi asetusten (EU) N:o 1308/2013, (EU) 2021/2115 ja (EU) N:o 251/2014 muuttamisesta viinialan ja maustettujen viinituotteiden tiettyjen kaupan pitämistä koskevien sääntöjen ja alakohtaisten tukitoimenpiteiden osalta</w:t>
      </w:r>
      <w:bookmarkEnd w:id="5"/>
      <w:r w:rsidRPr="00633A73">
        <w:t xml:space="preserve"> </w:t>
      </w:r>
      <w:bookmarkStart w:id="6" w:name="References"/>
      <w:r w:rsidRPr="00633A73">
        <w:t>(COM(2025)0137 – C10-0058/2025 – 2025/0071(COD))</w:t>
      </w:r>
      <w:bookmarkEnd w:id="6"/>
    </w:p>
    <w:p w14:paraId="1D7458DF" w14:textId="77777777" w:rsidR="00570A07" w:rsidRPr="00633A73" w:rsidRDefault="00570A07" w:rsidP="00DB0DDD">
      <w:pPr>
        <w:pStyle w:val="NormalBold"/>
        <w:widowControl/>
      </w:pPr>
      <w:r w:rsidRPr="00633A73">
        <w:t>(Tavallinen lainsäätämisjärjestys: ensimmäinen käsittely)</w:t>
      </w:r>
    </w:p>
    <w:p w14:paraId="138233B6" w14:textId="77777777" w:rsidR="00570A07" w:rsidRPr="00633A73" w:rsidRDefault="00570A07" w:rsidP="00DB0DDD">
      <w:pPr>
        <w:pStyle w:val="EPComma"/>
        <w:widowControl/>
      </w:pPr>
      <w:r w:rsidRPr="00633A73">
        <w:rPr>
          <w:i/>
          <w:iCs/>
        </w:rPr>
        <w:t>Euroopan parlamentti</w:t>
      </w:r>
      <w:r w:rsidRPr="00633A73">
        <w:t>, joka</w:t>
      </w:r>
    </w:p>
    <w:p w14:paraId="050698A6" w14:textId="77777777" w:rsidR="00570A07" w:rsidRPr="00633A73" w:rsidRDefault="00570A07" w:rsidP="00DB0DDD">
      <w:pPr>
        <w:pStyle w:val="NormalHanging12a"/>
        <w:widowControl/>
      </w:pPr>
      <w:r w:rsidRPr="00633A73">
        <w:t>–</w:t>
      </w:r>
      <w:r w:rsidRPr="00633A73">
        <w:tab/>
        <w:t>ottaa huomioon komission ehdotuksen Euroopan parlamentille ja neuvostolle (COM(2025)0137),</w:t>
      </w:r>
    </w:p>
    <w:p w14:paraId="691ACF60" w14:textId="68612067" w:rsidR="00570A07" w:rsidRPr="00633A73" w:rsidRDefault="00570A07" w:rsidP="00DB0DDD">
      <w:pPr>
        <w:pStyle w:val="NormalHanging12a"/>
        <w:widowControl/>
      </w:pPr>
      <w:r w:rsidRPr="00633A73">
        <w:t>–</w:t>
      </w:r>
      <w:r w:rsidRPr="00633A73">
        <w:tab/>
        <w:t>ottaa huomioon Euroopan unionin toiminnasta tehdyn sopimuksen 294 artiklan 2 kohdan, 42 artiklan ensimmäisen kohdan ja 43 artiklan 2 kohdan, joiden mukaisesti komissio on antanut ehdotuksen Euroopan parlamentille (C10-0058/2025),</w:t>
      </w:r>
    </w:p>
    <w:p w14:paraId="4492831F" w14:textId="77777777" w:rsidR="00570A07" w:rsidRPr="00633A73" w:rsidRDefault="00570A07" w:rsidP="00DB0DDD">
      <w:pPr>
        <w:pStyle w:val="NormalHanging12a"/>
        <w:widowControl/>
      </w:pPr>
      <w:r w:rsidRPr="00633A73">
        <w:t>–</w:t>
      </w:r>
      <w:r w:rsidRPr="00633A73">
        <w:tab/>
        <w:t>ottaa huomioon Euroopan unionin toiminnasta tehdyn sopimuksen 294 artiklan 3 kohdan,</w:t>
      </w:r>
    </w:p>
    <w:p w14:paraId="43BD0FA8" w14:textId="54E611AE" w:rsidR="00570A07" w:rsidRPr="00633A73" w:rsidRDefault="00570A07" w:rsidP="00DB0DDD">
      <w:pPr>
        <w:pStyle w:val="NormalHanging12a"/>
        <w:widowControl/>
      </w:pPr>
      <w:r w:rsidRPr="00633A73">
        <w:t>–</w:t>
      </w:r>
      <w:r w:rsidRPr="00633A73">
        <w:tab/>
        <w:t xml:space="preserve">ottaa huomioon Euroopan talous- ja sosiaalikomitean </w:t>
      </w:r>
      <w:r w:rsidR="00D138B0" w:rsidRPr="00633A73">
        <w:t>17</w:t>
      </w:r>
      <w:r w:rsidRPr="00633A73">
        <w:t>. heinäkuuta 2025 antaman lausunnon</w:t>
      </w:r>
      <w:r w:rsidRPr="00633A73">
        <w:rPr>
          <w:rStyle w:val="FootnoteReference"/>
        </w:rPr>
        <w:footnoteReference w:id="1"/>
      </w:r>
      <w:r w:rsidRPr="00633A73">
        <w:t>,</w:t>
      </w:r>
    </w:p>
    <w:p w14:paraId="4A99FA86" w14:textId="7CD6F73D" w:rsidR="00D138B0" w:rsidRPr="00633A73" w:rsidRDefault="00D138B0" w:rsidP="00DB0DDD">
      <w:pPr>
        <w:pStyle w:val="NormalHanging12a"/>
        <w:widowControl/>
      </w:pPr>
      <w:r w:rsidRPr="00633A73">
        <w:t>–</w:t>
      </w:r>
      <w:r w:rsidRPr="00633A73">
        <w:tab/>
        <w:t xml:space="preserve">ottaa huomioon alueiden komitean </w:t>
      </w:r>
      <w:r w:rsidR="004436C4" w:rsidRPr="00633A73">
        <w:t>2</w:t>
      </w:r>
      <w:r w:rsidRPr="00633A73">
        <w:t>. heinäkuuta 2025 antaman lausunnon</w:t>
      </w:r>
      <w:r w:rsidRPr="00633A73">
        <w:rPr>
          <w:rStyle w:val="FootnoteReference"/>
        </w:rPr>
        <w:footnoteReference w:id="2"/>
      </w:r>
      <w:r w:rsidRPr="00633A73">
        <w:t>,</w:t>
      </w:r>
    </w:p>
    <w:p w14:paraId="5E50FDA4" w14:textId="63FE7516" w:rsidR="00355A48" w:rsidRPr="00633A73" w:rsidRDefault="00355A48" w:rsidP="00153373">
      <w:pPr>
        <w:pStyle w:val="NormalHanging12a"/>
      </w:pPr>
      <w:r w:rsidRPr="00633A73">
        <w:t>–</w:t>
      </w:r>
      <w:r w:rsidRPr="00633A73">
        <w:tab/>
        <w:t>ottaa huomioon asiasta vastaavan valiokunnan työjärjestyksen 75 artiklan 4 kohdan mukaisesti hyväksymän alustavan sopimuksen sekä neuvoston edustajan 16. joulukuuta 2025 päivätyllä kirjeellä antaman sitoumuksen hyväksyä Euroopan parlamentin kanta Euroopan unionin toiminnasta tehdyn sopimuksen 294 artiklan 4 kohdan mukaisesti,</w:t>
      </w:r>
    </w:p>
    <w:p w14:paraId="125A86B2" w14:textId="77777777" w:rsidR="00570A07" w:rsidRPr="00633A73" w:rsidRDefault="00570A07" w:rsidP="00DB0DDD">
      <w:pPr>
        <w:pStyle w:val="NormalHanging12a"/>
        <w:widowControl/>
      </w:pPr>
      <w:r w:rsidRPr="00633A73">
        <w:t>–</w:t>
      </w:r>
      <w:r w:rsidRPr="00633A73">
        <w:tab/>
        <w:t>ottaa huomioon työjärjestyksen 60 artiklan,</w:t>
      </w:r>
    </w:p>
    <w:p w14:paraId="35EE08AC" w14:textId="77777777" w:rsidR="00570A07" w:rsidRPr="00633A73" w:rsidRDefault="00570A07" w:rsidP="00DB0DDD">
      <w:pPr>
        <w:pStyle w:val="NormalHanging12a"/>
        <w:widowControl/>
      </w:pPr>
      <w:r w:rsidRPr="00633A73">
        <w:lastRenderedPageBreak/>
        <w:t>–</w:t>
      </w:r>
      <w:r w:rsidRPr="00633A73">
        <w:tab/>
        <w:t>ottaa huomioon maatalouden ja maaseudun kehittämisen valiokunnan mietinnön (A10-0220/2025),</w:t>
      </w:r>
    </w:p>
    <w:p w14:paraId="07CF7632" w14:textId="77777777" w:rsidR="00570A07" w:rsidRPr="00633A73" w:rsidRDefault="00570A07" w:rsidP="00DB0DDD">
      <w:pPr>
        <w:pStyle w:val="NormalHanging12a"/>
        <w:widowControl/>
      </w:pPr>
      <w:r w:rsidRPr="00633A73">
        <w:t>1.</w:t>
      </w:r>
      <w:r w:rsidRPr="00633A73">
        <w:tab/>
        <w:t>vahvistaa jäljempänä esitetyn ensimmäisen käsittelyn kannan;</w:t>
      </w:r>
    </w:p>
    <w:p w14:paraId="3D920709" w14:textId="0942968F" w:rsidR="00355A48" w:rsidRPr="00633A73" w:rsidRDefault="00355A48" w:rsidP="00DB0DDD">
      <w:pPr>
        <w:pStyle w:val="NormalHanging12a"/>
        <w:widowControl/>
      </w:pPr>
      <w:r w:rsidRPr="00633A73">
        <w:t>2.</w:t>
      </w:r>
      <w:r w:rsidRPr="00633A73">
        <w:tab/>
        <w:t xml:space="preserve">panee merkille tämän päätöslauselman liitteenä olevan komission lausuman, joka julkaistaan </w:t>
      </w:r>
      <w:r w:rsidRPr="00633A73">
        <w:rPr>
          <w:i/>
          <w:iCs/>
        </w:rPr>
        <w:t>Euroopan unionin virallisen lehden</w:t>
      </w:r>
      <w:r w:rsidRPr="00633A73">
        <w:t xml:space="preserve"> C-sarjassa;</w:t>
      </w:r>
    </w:p>
    <w:p w14:paraId="3CF6091F" w14:textId="7AF8B50D" w:rsidR="00570A07" w:rsidRPr="00633A73" w:rsidRDefault="00355A48" w:rsidP="00DB0DDD">
      <w:pPr>
        <w:pStyle w:val="NormalHanging12a"/>
        <w:widowControl/>
      </w:pPr>
      <w:r w:rsidRPr="00633A73">
        <w:t>3</w:t>
      </w:r>
      <w:r w:rsidR="00570A07" w:rsidRPr="00633A73">
        <w:t>.</w:t>
      </w:r>
      <w:r w:rsidR="00570A07" w:rsidRPr="00633A73">
        <w:tab/>
        <w:t>pyytää komissiota antamaan asian uudelleen Euroopan parlamentin käsiteltäväksi, jos se korvaa ehdotuksensa, muuttaa sitä huomattavasti tai aikoo muuttaa sitä huomattavasti;</w:t>
      </w:r>
    </w:p>
    <w:p w14:paraId="4653493D" w14:textId="52A798B0" w:rsidR="00DB0DDD" w:rsidRPr="00633A73" w:rsidRDefault="00355A48" w:rsidP="00DB0DDD">
      <w:pPr>
        <w:pStyle w:val="NormalHanging12a"/>
        <w:widowControl/>
      </w:pPr>
      <w:r w:rsidRPr="00633A73">
        <w:t>4</w:t>
      </w:r>
      <w:r w:rsidR="00570A07" w:rsidRPr="00633A73">
        <w:t>.</w:t>
      </w:r>
      <w:r w:rsidR="00570A07" w:rsidRPr="00633A73">
        <w:tab/>
        <w:t>kehottaa puhemiestä välittämään parlamentin kannan neuvostolle ja komissiolle sekä kansallisille parlamenteille.</w:t>
      </w:r>
    </w:p>
    <w:p w14:paraId="2AEB1E98" w14:textId="77777777" w:rsidR="00355A48" w:rsidRPr="00633A73" w:rsidRDefault="00355A48">
      <w:pPr>
        <w:widowControl/>
        <w:sectPr w:rsidR="00355A48" w:rsidRPr="00633A73" w:rsidSect="0011368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C6A59E" w14:textId="0B651A62" w:rsidR="00355A48" w:rsidRPr="00633A73" w:rsidRDefault="00355A48" w:rsidP="00355A48">
      <w:pPr>
        <w:widowControl/>
        <w:spacing w:after="240"/>
        <w:rPr>
          <w:b/>
          <w:szCs w:val="24"/>
        </w:rPr>
      </w:pPr>
      <w:r w:rsidRPr="00633A73">
        <w:rPr>
          <w:b/>
          <w:szCs w:val="24"/>
        </w:rPr>
        <w:lastRenderedPageBreak/>
        <w:t>P10_TC1-COD(2025)0071</w:t>
      </w:r>
    </w:p>
    <w:p w14:paraId="7DBC4622" w14:textId="40A40811" w:rsidR="004436C4" w:rsidRPr="00633A73" w:rsidRDefault="00355A48" w:rsidP="00355A48">
      <w:pPr>
        <w:widowControl/>
        <w:spacing w:after="24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633A73">
        <w:rPr>
          <w:b/>
          <w:szCs w:val="24"/>
        </w:rPr>
        <w:t xml:space="preserve">Euroopan parlamentin kanta, vahvistettu ensimmäisessä käsittelyssä 10. helmikuuta 2026, Euroopan parlamentin ja neuvoston asetuksen (EU) 2026/… antamiseksi </w:t>
      </w:r>
      <w:r w:rsidRPr="00633A73">
        <w:rPr>
          <w:rFonts w:eastAsia="Aptos"/>
          <w:b/>
          <w:kern w:val="2"/>
          <w:szCs w:val="24"/>
          <w:lang w:eastAsia="en-US"/>
          <w14:ligatures w14:val="standardContextual"/>
        </w:rPr>
        <w:t>asetusten (EU) N:o 1308/2013, (EU) N:o 251/2014 ja (EU) 2021/2115 muuttamisesta viinialan ja maustettujen viinituotteiden tiettyjen kaupan pitämistä koskevien sääntöjen ja alakohtaisten tukitoimenpiteiden osalta sekä asetuksen (EU) 2024/1143 muuttamisesta tislattujen alkoholijuomien tiettyjen merkintäsääntöjen osalta</w:t>
      </w:r>
    </w:p>
    <w:p w14:paraId="5D3A2F20" w14:textId="7FC80DE7" w:rsidR="004436C4" w:rsidRPr="00633A73" w:rsidRDefault="004436C4" w:rsidP="004436C4">
      <w:pPr>
        <w:suppressAutoHyphens/>
        <w:rPr>
          <w:i/>
          <w:szCs w:val="24"/>
        </w:rPr>
      </w:pPr>
      <w:r w:rsidRPr="00633A73">
        <w:rPr>
          <w:i/>
          <w:szCs w:val="24"/>
        </w:rPr>
        <w:t xml:space="preserve">(Euroopan parlamentin ja neuvoston päästyä sopimukseen parlamentin kanta vastaa lopullista säädöstä, asetusta (EU) </w:t>
      </w:r>
      <w:r w:rsidRPr="00633A73">
        <w:rPr>
          <w:rFonts w:eastAsia="Calibri"/>
          <w:i/>
          <w:szCs w:val="22"/>
          <w:lang w:eastAsia="en-US"/>
        </w:rPr>
        <w:t>2026/471</w:t>
      </w:r>
      <w:r w:rsidRPr="00633A73">
        <w:rPr>
          <w:i/>
          <w:szCs w:val="24"/>
        </w:rPr>
        <w:t>.)</w:t>
      </w:r>
    </w:p>
    <w:p w14:paraId="6FD64D30" w14:textId="77777777" w:rsidR="004436C4" w:rsidRPr="00633A73" w:rsidRDefault="004436C4">
      <w:pPr>
        <w:widowControl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633A73">
        <w:rPr>
          <w:rFonts w:eastAsia="Aptos"/>
          <w:b/>
          <w:kern w:val="2"/>
          <w:szCs w:val="24"/>
          <w:lang w:eastAsia="en-US"/>
          <w14:ligatures w14:val="standardContextual"/>
        </w:rPr>
        <w:br w:type="page"/>
      </w:r>
    </w:p>
    <w:p w14:paraId="2361C4C6" w14:textId="77777777" w:rsidR="004436C4" w:rsidRPr="00633A73" w:rsidRDefault="004436C4" w:rsidP="004436C4">
      <w:pPr>
        <w:widowControl/>
        <w:tabs>
          <w:tab w:val="left" w:pos="5669"/>
        </w:tabs>
        <w:spacing w:after="240" w:line="360" w:lineRule="auto"/>
        <w:jc w:val="right"/>
        <w:rPr>
          <w:rFonts w:eastAsia="Aptos"/>
          <w:color w:val="000000" w:themeColor="text1"/>
          <w:kern w:val="2"/>
          <w:szCs w:val="24"/>
          <w:lang w:eastAsia="en-US"/>
          <w14:ligatures w14:val="standardContextual"/>
        </w:rPr>
      </w:pPr>
      <w:r w:rsidRPr="00633A73">
        <w:rPr>
          <w:color w:val="000000" w:themeColor="text1"/>
        </w:rPr>
        <w:lastRenderedPageBreak/>
        <w:t>LAINSÄÄDÄNTÖPÄÄTÖSLAUSELMAN LIITE</w:t>
      </w:r>
    </w:p>
    <w:p w14:paraId="78C6AFE0" w14:textId="620AE03B" w:rsidR="004436C4" w:rsidRPr="00633A73" w:rsidRDefault="004436C4" w:rsidP="004436C4">
      <w:pPr>
        <w:widowControl/>
        <w:spacing w:after="240" w:line="360" w:lineRule="auto"/>
        <w:jc w:val="center"/>
        <w:rPr>
          <w:iCs/>
        </w:rPr>
      </w:pPr>
      <w:r w:rsidRPr="00633A73">
        <w:rPr>
          <w:iCs/>
        </w:rPr>
        <w:t xml:space="preserve">Komission lausuma </w:t>
      </w:r>
      <w:r w:rsidRPr="00633A73">
        <w:rPr>
          <w:bCs/>
          <w:iCs/>
        </w:rPr>
        <w:t>asetusten (EU) N:o 1308/2013, (EU) N:o 251/2014 ja (EU) 2021/2115 muuttamisesta viinialan ja maustettujen viinituotteiden tiettyjen kaupan pitämistä koskevien sääntöjen ja alakohtaisten tukitoimenpiteiden osalta sekä asetuksen (EU) 2024/1143 muuttamisesta tislattujen alkoholijuomien tiettyjen merkintäsääntöjen osalta</w:t>
      </w:r>
      <w:r w:rsidRPr="00633A73">
        <w:rPr>
          <w:iCs/>
        </w:rPr>
        <w:t xml:space="preserve"> </w:t>
      </w:r>
      <w:r w:rsidRPr="00633A73">
        <w:rPr>
          <w:iCs/>
        </w:rPr>
        <w:t>24 </w:t>
      </w:r>
      <w:r w:rsidRPr="00633A73">
        <w:rPr>
          <w:iCs/>
        </w:rPr>
        <w:t xml:space="preserve">päivänä </w:t>
      </w:r>
      <w:r w:rsidRPr="00633A73">
        <w:rPr>
          <w:iCs/>
        </w:rPr>
        <w:t>helmi</w:t>
      </w:r>
      <w:r w:rsidRPr="00633A73">
        <w:rPr>
          <w:iCs/>
        </w:rPr>
        <w:t>kuuta 2026 annetun Euroopan parlamentin ja neuvoston asetuksen (EU) 2026/</w:t>
      </w:r>
      <w:r w:rsidRPr="00633A73">
        <w:rPr>
          <w:iCs/>
        </w:rPr>
        <w:t>471</w:t>
      </w:r>
      <w:r w:rsidRPr="00633A73">
        <w:rPr>
          <w:rStyle w:val="FootnoteReference"/>
          <w:iCs/>
        </w:rPr>
        <w:footnoteReference w:id="3"/>
      </w:r>
      <w:r w:rsidRPr="00633A73">
        <w:rPr>
          <w:iCs/>
        </w:rPr>
        <w:t xml:space="preserve"> hyväksymisen yhteydessä</w:t>
      </w:r>
    </w:p>
    <w:p w14:paraId="79561D4E" w14:textId="77777777" w:rsidR="004436C4" w:rsidRPr="00633A73" w:rsidRDefault="004436C4" w:rsidP="004436C4">
      <w:pPr>
        <w:widowControl/>
        <w:spacing w:after="240" w:line="360" w:lineRule="auto"/>
        <w:rPr>
          <w:iCs/>
        </w:rPr>
      </w:pPr>
      <w:r w:rsidRPr="00633A73">
        <w:rPr>
          <w:iCs/>
        </w:rPr>
        <w:t xml:space="preserve">Komissio pyrkii parhaansa mukaan esittämään vuonna 2026 asianomaiselle asiantuntijaryhmälle tai komitealle </w:t>
      </w:r>
    </w:p>
    <w:p w14:paraId="77AF4021" w14:textId="77777777" w:rsidR="004436C4" w:rsidRPr="00633A73" w:rsidRDefault="004436C4" w:rsidP="004436C4">
      <w:pPr>
        <w:widowControl/>
        <w:spacing w:after="240" w:line="360" w:lineRule="auto"/>
        <w:ind w:left="851" w:hanging="851"/>
        <w:rPr>
          <w:iCs/>
        </w:rPr>
      </w:pPr>
      <w:r w:rsidRPr="00633A73">
        <w:rPr>
          <w:iCs/>
        </w:rPr>
        <w:t>1)</w:t>
      </w:r>
      <w:r w:rsidRPr="00633A73">
        <w:rPr>
          <w:iCs/>
        </w:rPr>
        <w:tab/>
        <w:t xml:space="preserve">asetuksen (EU) 2018/274 muuttamista koskevan täytäntöönpanosäädöksen luonnoksen, joka liittyy mahdollisuuteen jatkaa kyseisen asetuksen 9 artiklassa säädetyn </w:t>
      </w:r>
      <w:r w:rsidRPr="00633A73">
        <w:rPr>
          <w:b/>
          <w:iCs/>
        </w:rPr>
        <w:t>uudelleenistutuslupien myöntämistä koskevan yksinkertaistetun menettelyn</w:t>
      </w:r>
      <w:r w:rsidRPr="00633A73">
        <w:rPr>
          <w:iCs/>
        </w:rPr>
        <w:t xml:space="preserve"> soveltamista.</w:t>
      </w:r>
    </w:p>
    <w:p w14:paraId="193C2980" w14:textId="77777777" w:rsidR="004436C4" w:rsidRPr="00633A73" w:rsidRDefault="004436C4" w:rsidP="004436C4">
      <w:pPr>
        <w:widowControl/>
        <w:spacing w:after="240" w:line="360" w:lineRule="auto"/>
        <w:ind w:left="851" w:hanging="851"/>
        <w:rPr>
          <w:iCs/>
        </w:rPr>
      </w:pPr>
      <w:r w:rsidRPr="00633A73">
        <w:rPr>
          <w:iCs/>
        </w:rPr>
        <w:t>2)</w:t>
      </w:r>
      <w:r w:rsidRPr="00633A73">
        <w:rPr>
          <w:iCs/>
        </w:rPr>
        <w:tab/>
        <w:t xml:space="preserve">luonnoksen komission delegoidun asetuksen (EU) 2019/33 muuttamiseksi siten, että määritellään asetuksen (EU) N:o 1308/2013 119 artiklan 4 ja 5 kohdassa tarkoitettu unionin järjestelmä rypäletuotteiden ilmoittamiseksi </w:t>
      </w:r>
      <w:r w:rsidRPr="00633A73">
        <w:rPr>
          <w:b/>
          <w:iCs/>
        </w:rPr>
        <w:t>sähköisessä muodossa</w:t>
      </w:r>
      <w:r w:rsidRPr="00633A73">
        <w:rPr>
          <w:iCs/>
        </w:rPr>
        <w:t xml:space="preserve"> pakkauksessa tai etiketissä.</w:t>
      </w:r>
    </w:p>
    <w:p w14:paraId="3410E28D" w14:textId="77777777" w:rsidR="004436C4" w:rsidRPr="00633A73" w:rsidRDefault="004436C4" w:rsidP="004436C4">
      <w:pPr>
        <w:widowControl/>
        <w:spacing w:after="240" w:line="360" w:lineRule="auto"/>
        <w:ind w:left="851" w:hanging="851"/>
        <w:rPr>
          <w:iCs/>
        </w:rPr>
      </w:pPr>
      <w:r w:rsidRPr="00633A73">
        <w:rPr>
          <w:iCs/>
        </w:rPr>
        <w:t>3)</w:t>
      </w:r>
      <w:r w:rsidRPr="00633A73">
        <w:rPr>
          <w:iCs/>
        </w:rPr>
        <w:tab/>
        <w:t xml:space="preserve">luonnoksen komission delegoidun asetuksen (EU) 2019/934 muuttamiseksi siten, että </w:t>
      </w:r>
      <w:r w:rsidRPr="00633A73">
        <w:rPr>
          <w:b/>
          <w:iCs/>
        </w:rPr>
        <w:t>”leikkaamisen” määritelmään</w:t>
      </w:r>
      <w:r w:rsidRPr="00633A73">
        <w:rPr>
          <w:iCs/>
        </w:rPr>
        <w:t xml:space="preserve"> (”sekoittaminen”) sisällytetään mahdollisuus sekoittaa kuohumattomiin viineihin viinejä, joista alkoholi on poistettu kokonaan tai osittain, jotta voidaan tuottaa viinejä, joista alkoholi on poistettu osittain.</w:t>
      </w:r>
    </w:p>
    <w:p w14:paraId="619F8AFD" w14:textId="7F98B4D6" w:rsidR="00355A48" w:rsidRPr="004436C4" w:rsidRDefault="004436C4" w:rsidP="004436C4">
      <w:pPr>
        <w:widowControl/>
        <w:spacing w:after="240" w:line="360" w:lineRule="auto"/>
        <w:ind w:left="851" w:hanging="851"/>
        <w:rPr>
          <w:rFonts w:eastAsia="Calibri"/>
          <w:b/>
          <w:szCs w:val="22"/>
          <w:lang w:eastAsia="en-US"/>
        </w:rPr>
      </w:pPr>
      <w:r w:rsidRPr="00633A73">
        <w:rPr>
          <w:iCs/>
        </w:rPr>
        <w:t>4)</w:t>
      </w:r>
      <w:r w:rsidRPr="00633A73">
        <w:rPr>
          <w:iCs/>
        </w:rPr>
        <w:tab/>
        <w:t xml:space="preserve">luonnoksen delegoiduksi säädökseksi, jossa vahvistetaan edellytykset asetuksen (EU) N:o 1308/2013 uudessa 62 artiklan 6 kohdassa tarkoitetulle </w:t>
      </w:r>
      <w:r w:rsidRPr="00633A73">
        <w:rPr>
          <w:b/>
          <w:iCs/>
        </w:rPr>
        <w:t>hylättyjen viinitarhojen raivaukselle</w:t>
      </w:r>
      <w:r w:rsidRPr="00633A73">
        <w:rPr>
          <w:iCs/>
        </w:rPr>
        <w:t>.</w:t>
      </w:r>
    </w:p>
    <w:sectPr w:rsidR="00355A48" w:rsidRPr="004436C4" w:rsidSect="001136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F0BC" w14:textId="77777777" w:rsidR="00081E0E" w:rsidRPr="0011368C" w:rsidRDefault="00081E0E">
      <w:r w:rsidRPr="0011368C">
        <w:separator/>
      </w:r>
    </w:p>
  </w:endnote>
  <w:endnote w:type="continuationSeparator" w:id="0">
    <w:p w14:paraId="5FBA4AE5" w14:textId="77777777" w:rsidR="00081E0E" w:rsidRPr="0011368C" w:rsidRDefault="00081E0E">
      <w:r w:rsidRPr="001136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13C58" w14:textId="77777777" w:rsidR="00081E0E" w:rsidRPr="0011368C" w:rsidRDefault="00081E0E">
      <w:r w:rsidRPr="0011368C">
        <w:separator/>
      </w:r>
    </w:p>
  </w:footnote>
  <w:footnote w:type="continuationSeparator" w:id="0">
    <w:p w14:paraId="095B950C" w14:textId="77777777" w:rsidR="00081E0E" w:rsidRPr="0011368C" w:rsidRDefault="00081E0E">
      <w:r w:rsidRPr="0011368C">
        <w:continuationSeparator/>
      </w:r>
    </w:p>
  </w:footnote>
  <w:footnote w:id="1">
    <w:p w14:paraId="0A6C0A78" w14:textId="759F8D5C" w:rsidR="00570A07" w:rsidRPr="004436C4" w:rsidRDefault="00570A07" w:rsidP="0011368C">
      <w:pPr>
        <w:pStyle w:val="FootnoteText"/>
        <w:ind w:left="567" w:hanging="567"/>
        <w:rPr>
          <w:sz w:val="24"/>
          <w:szCs w:val="24"/>
          <w:lang w:val="fi-FI"/>
        </w:rPr>
      </w:pPr>
      <w:r w:rsidRPr="004436C4">
        <w:rPr>
          <w:rStyle w:val="FootnoteReference"/>
          <w:sz w:val="24"/>
          <w:szCs w:val="24"/>
          <w:lang w:val="fi-FI"/>
        </w:rPr>
        <w:footnoteRef/>
      </w:r>
      <w:r w:rsidR="0011368C" w:rsidRPr="004436C4">
        <w:rPr>
          <w:sz w:val="24"/>
          <w:szCs w:val="24"/>
          <w:lang w:val="fi-FI"/>
        </w:rPr>
        <w:t xml:space="preserve"> </w:t>
      </w:r>
      <w:r w:rsidR="0011368C" w:rsidRPr="004436C4">
        <w:rPr>
          <w:sz w:val="24"/>
          <w:szCs w:val="24"/>
          <w:lang w:val="fi-FI"/>
        </w:rPr>
        <w:tab/>
      </w:r>
      <w:r w:rsidRPr="004436C4">
        <w:rPr>
          <w:sz w:val="24"/>
          <w:szCs w:val="24"/>
          <w:lang w:val="fi-FI"/>
        </w:rPr>
        <w:t xml:space="preserve">EUVL C, </w:t>
      </w:r>
      <w:r w:rsidR="00DB0DDD" w:rsidRPr="004436C4">
        <w:rPr>
          <w:sz w:val="24"/>
          <w:szCs w:val="24"/>
          <w:lang w:val="fi-FI"/>
        </w:rPr>
        <w:t xml:space="preserve">C/2025/5161, 28.10.2025, ELI: </w:t>
      </w:r>
      <w:hyperlink r:id="rId1" w:history="1">
        <w:r w:rsidR="00DB0DDD" w:rsidRPr="004436C4">
          <w:rPr>
            <w:rStyle w:val="Hyperlink"/>
            <w:sz w:val="24"/>
            <w:szCs w:val="24"/>
            <w:lang w:val="fi-FI"/>
          </w:rPr>
          <w:t>http://data.europa.eu/eli/C/2025/5161/oj</w:t>
        </w:r>
      </w:hyperlink>
      <w:r w:rsidRPr="004436C4">
        <w:rPr>
          <w:sz w:val="24"/>
          <w:szCs w:val="24"/>
          <w:lang w:val="fi-FI"/>
        </w:rPr>
        <w:t>.</w:t>
      </w:r>
    </w:p>
  </w:footnote>
  <w:footnote w:id="2">
    <w:p w14:paraId="2007DE4F" w14:textId="77777777" w:rsidR="00D138B0" w:rsidRPr="004436C4" w:rsidRDefault="00D138B0" w:rsidP="00D138B0">
      <w:pPr>
        <w:pStyle w:val="FootnoteText"/>
        <w:ind w:left="567" w:hanging="567"/>
        <w:rPr>
          <w:sz w:val="24"/>
          <w:szCs w:val="24"/>
          <w:lang w:val="fi-FI"/>
        </w:rPr>
      </w:pPr>
      <w:r w:rsidRPr="004436C4">
        <w:rPr>
          <w:rStyle w:val="FootnoteReference"/>
          <w:sz w:val="24"/>
          <w:szCs w:val="24"/>
          <w:lang w:val="fi-FI"/>
        </w:rPr>
        <w:footnoteRef/>
      </w:r>
      <w:r w:rsidRPr="004436C4">
        <w:rPr>
          <w:sz w:val="24"/>
          <w:szCs w:val="24"/>
          <w:lang w:val="fi-FI"/>
        </w:rPr>
        <w:t xml:space="preserve"> </w:t>
      </w:r>
      <w:r w:rsidRPr="004436C4">
        <w:rPr>
          <w:sz w:val="24"/>
          <w:szCs w:val="24"/>
          <w:lang w:val="fi-FI"/>
        </w:rPr>
        <w:tab/>
        <w:t xml:space="preserve">EUVL C, C/2025/4418, 29.8.2025, ELI: </w:t>
      </w:r>
      <w:hyperlink r:id="rId2" w:history="1">
        <w:r w:rsidRPr="004436C4">
          <w:rPr>
            <w:rStyle w:val="Hyperlink"/>
            <w:sz w:val="24"/>
            <w:szCs w:val="24"/>
            <w:lang w:val="fi-FI"/>
          </w:rPr>
          <w:t>http://data.europa.eu/eli/C/2025/4418/oj</w:t>
        </w:r>
      </w:hyperlink>
      <w:r w:rsidRPr="004436C4">
        <w:rPr>
          <w:sz w:val="24"/>
          <w:szCs w:val="24"/>
          <w:lang w:val="fi-FI"/>
        </w:rPr>
        <w:t>.</w:t>
      </w:r>
    </w:p>
  </w:footnote>
  <w:footnote w:id="3">
    <w:p w14:paraId="3B4C5FC8" w14:textId="025E27E8" w:rsidR="004436C4" w:rsidRPr="004436C4" w:rsidRDefault="004436C4" w:rsidP="004436C4">
      <w:pPr>
        <w:pStyle w:val="FootnoteText"/>
        <w:ind w:left="851" w:hanging="851"/>
        <w:rPr>
          <w:lang w:val="fi-FI"/>
        </w:rPr>
      </w:pPr>
      <w:r w:rsidRPr="004436C4">
        <w:rPr>
          <w:rStyle w:val="FootnoteReference"/>
        </w:rPr>
        <w:footnoteRef/>
      </w:r>
      <w:r w:rsidRPr="004436C4">
        <w:rPr>
          <w:lang w:val="fi-FI"/>
        </w:rPr>
        <w:t xml:space="preserve"> </w:t>
      </w:r>
      <w:r w:rsidRPr="004436C4">
        <w:rPr>
          <w:lang w:val="fi-FI"/>
        </w:rPr>
        <w:tab/>
      </w:r>
      <w:r w:rsidRPr="004436C4">
        <w:rPr>
          <w:sz w:val="24"/>
          <w:szCs w:val="24"/>
          <w:lang w:val="sk-SK"/>
        </w:rPr>
        <w:t>EUVL</w:t>
      </w:r>
      <w:r w:rsidRPr="004436C4">
        <w:rPr>
          <w:sz w:val="24"/>
          <w:szCs w:val="24"/>
          <w:lang w:val="sk-SK"/>
        </w:rPr>
        <w:t xml:space="preserve"> L, 2026/471, 26.2.2026, ELI: </w:t>
      </w:r>
      <w:hyperlink r:id="rId3" w:history="1">
        <w:r w:rsidRPr="004436C4">
          <w:rPr>
            <w:rStyle w:val="Hyperlink"/>
            <w:sz w:val="24"/>
            <w:szCs w:val="24"/>
            <w:lang w:val="sk-SK"/>
          </w:rPr>
          <w:t>http://data.europa.eu/eli/reg/2026/471/oj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856894057">
    <w:abstractNumId w:val="0"/>
  </w:num>
  <w:num w:numId="2" w16cid:durableId="465589844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FI"/>
    <w:docVar w:name="dvnumam" w:val="91"/>
    <w:docVar w:name="dvpe" w:val="774.316"/>
    <w:docVar w:name="dvrapporteur" w:val="Esittelijä: "/>
    <w:docVar w:name="dvstar" w:val="***I"/>
    <w:docVar w:name="dvtitre" w:val="Euroopan parlamentin lainsäädäntöpäätöslauselma xx. helmikuuta 2026 ehdotuksesta Euroopan parlamentin ja neuvoston asetukseksi asetusten (EU) N:o 1308/2013, (EU) 2021/2115 ja (EU) N:o 251/2014 muuttamisesta viinialan ja maustettujen viinituotteiden tiettyjen kaupan pitämistä koskevien sääntöjen ja alakohtaisten tukitoimenpiteiden osalta(COM(2025)0137 – C10-0058/2025 – 2025/0071(COD))"/>
  </w:docVars>
  <w:rsids>
    <w:rsidRoot w:val="00081E0E"/>
    <w:rsid w:val="00002272"/>
    <w:rsid w:val="00064002"/>
    <w:rsid w:val="000677B9"/>
    <w:rsid w:val="00081E0E"/>
    <w:rsid w:val="000831BA"/>
    <w:rsid w:val="000A42CC"/>
    <w:rsid w:val="000E7DD9"/>
    <w:rsid w:val="0010095E"/>
    <w:rsid w:val="00101512"/>
    <w:rsid w:val="0011368C"/>
    <w:rsid w:val="00125B37"/>
    <w:rsid w:val="00153373"/>
    <w:rsid w:val="00174899"/>
    <w:rsid w:val="00187494"/>
    <w:rsid w:val="001F32AE"/>
    <w:rsid w:val="002767FF"/>
    <w:rsid w:val="002B18FE"/>
    <w:rsid w:val="002B5493"/>
    <w:rsid w:val="00331D24"/>
    <w:rsid w:val="00343214"/>
    <w:rsid w:val="003524B5"/>
    <w:rsid w:val="00355A48"/>
    <w:rsid w:val="00361C00"/>
    <w:rsid w:val="00395FA1"/>
    <w:rsid w:val="003E15D4"/>
    <w:rsid w:val="00411CCE"/>
    <w:rsid w:val="0041666E"/>
    <w:rsid w:val="00421060"/>
    <w:rsid w:val="004436C4"/>
    <w:rsid w:val="00446DA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C84"/>
    <w:rsid w:val="00560270"/>
    <w:rsid w:val="00570A07"/>
    <w:rsid w:val="005A3E85"/>
    <w:rsid w:val="005C2568"/>
    <w:rsid w:val="005D2F5B"/>
    <w:rsid w:val="005F1B17"/>
    <w:rsid w:val="006037C0"/>
    <w:rsid w:val="00633A7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5A6"/>
    <w:rsid w:val="00786EC0"/>
    <w:rsid w:val="007A7D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B60"/>
    <w:rsid w:val="00A43E52"/>
    <w:rsid w:val="00A4678D"/>
    <w:rsid w:val="00A778C7"/>
    <w:rsid w:val="00AB441E"/>
    <w:rsid w:val="00AB6293"/>
    <w:rsid w:val="00AC7337"/>
    <w:rsid w:val="00AE0928"/>
    <w:rsid w:val="00AF3B82"/>
    <w:rsid w:val="00B12E95"/>
    <w:rsid w:val="00B22876"/>
    <w:rsid w:val="00B558F0"/>
    <w:rsid w:val="00B972A4"/>
    <w:rsid w:val="00BB715B"/>
    <w:rsid w:val="00BD48FE"/>
    <w:rsid w:val="00BD7BD8"/>
    <w:rsid w:val="00BE6ADC"/>
    <w:rsid w:val="00C05BFE"/>
    <w:rsid w:val="00C13202"/>
    <w:rsid w:val="00C23CD4"/>
    <w:rsid w:val="00C61C0C"/>
    <w:rsid w:val="00C941CB"/>
    <w:rsid w:val="00CC2357"/>
    <w:rsid w:val="00CD5747"/>
    <w:rsid w:val="00CF071A"/>
    <w:rsid w:val="00D058B8"/>
    <w:rsid w:val="00D138B0"/>
    <w:rsid w:val="00D56C11"/>
    <w:rsid w:val="00D80730"/>
    <w:rsid w:val="00D834A0"/>
    <w:rsid w:val="00D872DF"/>
    <w:rsid w:val="00D91E21"/>
    <w:rsid w:val="00DA7FCD"/>
    <w:rsid w:val="00DB0DDD"/>
    <w:rsid w:val="00DB7B9E"/>
    <w:rsid w:val="00E365E1"/>
    <w:rsid w:val="00E512AE"/>
    <w:rsid w:val="00E820A4"/>
    <w:rsid w:val="00E951C3"/>
    <w:rsid w:val="00EB006A"/>
    <w:rsid w:val="00EB4772"/>
    <w:rsid w:val="00ED169E"/>
    <w:rsid w:val="00ED4235"/>
    <w:rsid w:val="00F04346"/>
    <w:rsid w:val="00F075DC"/>
    <w:rsid w:val="00F149E9"/>
    <w:rsid w:val="00F4561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18D55"/>
  <w15:chartTrackingRefBased/>
  <w15:docId w15:val="{C598AAF6-A9F6-449D-885E-E5C0BC46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7C84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70A0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A0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A0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A0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A0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A07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A07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A07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A07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570A0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70A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70A0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70A07"/>
    <w:pPr>
      <w:spacing w:after="120"/>
    </w:pPr>
  </w:style>
  <w:style w:type="paragraph" w:customStyle="1" w:styleId="PageHeading">
    <w:name w:val="PageHeading"/>
    <w:basedOn w:val="Normal"/>
    <w:rsid w:val="00570A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70A0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70A07"/>
    <w:rPr>
      <w:b/>
      <w:sz w:val="24"/>
      <w:lang w:val="fi-FI"/>
    </w:rPr>
  </w:style>
  <w:style w:type="paragraph" w:customStyle="1" w:styleId="NormalBold12a">
    <w:name w:val="NormalBold12a"/>
    <w:basedOn w:val="Normal"/>
    <w:rsid w:val="00570A07"/>
    <w:pPr>
      <w:spacing w:after="240"/>
    </w:pPr>
    <w:rPr>
      <w:b/>
    </w:rPr>
  </w:style>
  <w:style w:type="paragraph" w:customStyle="1" w:styleId="AmJustText">
    <w:name w:val="AmJustText"/>
    <w:basedOn w:val="Normal"/>
    <w:rsid w:val="00570A0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70A0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70A07"/>
    <w:pPr>
      <w:spacing w:after="480"/>
      <w:ind w:left="1417"/>
    </w:pPr>
  </w:style>
  <w:style w:type="paragraph" w:customStyle="1" w:styleId="CoverNormal">
    <w:name w:val="CoverNormal"/>
    <w:basedOn w:val="Normal"/>
    <w:rsid w:val="00570A07"/>
    <w:pPr>
      <w:ind w:left="1418"/>
    </w:pPr>
  </w:style>
  <w:style w:type="paragraph" w:customStyle="1" w:styleId="AmCrossRef">
    <w:name w:val="AmCrossRef"/>
    <w:basedOn w:val="Normal"/>
    <w:rsid w:val="00570A0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70A0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70A0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70A0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70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70A0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70A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A07"/>
    <w:rPr>
      <w:sz w:val="24"/>
      <w:lang w:val="fi-FI"/>
    </w:rPr>
  </w:style>
  <w:style w:type="paragraph" w:customStyle="1" w:styleId="AmOrLang">
    <w:name w:val="AmOrLang"/>
    <w:basedOn w:val="Normal"/>
    <w:rsid w:val="00570A0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70A0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B0DDD"/>
    <w:pPr>
      <w:keepNext/>
      <w:widowControl/>
      <w:spacing w:before="240"/>
    </w:pPr>
    <w:rPr>
      <w:b/>
    </w:rPr>
  </w:style>
  <w:style w:type="paragraph" w:customStyle="1" w:styleId="NormalBold12b">
    <w:name w:val="NormalBold12b"/>
    <w:basedOn w:val="Normal"/>
    <w:rsid w:val="00570A07"/>
    <w:pPr>
      <w:spacing w:before="240"/>
    </w:pPr>
    <w:rPr>
      <w:b/>
    </w:rPr>
  </w:style>
  <w:style w:type="paragraph" w:customStyle="1" w:styleId="EPBody">
    <w:name w:val="EPBody"/>
    <w:basedOn w:val="Normal"/>
    <w:rsid w:val="00570A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70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70A07"/>
    <w:pPr>
      <w:spacing w:before="480" w:after="240"/>
    </w:pPr>
  </w:style>
  <w:style w:type="paragraph" w:customStyle="1" w:styleId="Lgendesigne">
    <w:name w:val="Légende signe"/>
    <w:basedOn w:val="Normal"/>
    <w:rsid w:val="00570A0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70A0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70A07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70A07"/>
    <w:rPr>
      <w:sz w:val="22"/>
    </w:rPr>
  </w:style>
  <w:style w:type="paragraph" w:styleId="Footer">
    <w:name w:val="footer"/>
    <w:link w:val="FooterChar"/>
    <w:uiPriority w:val="99"/>
    <w:unhideWhenUsed/>
    <w:rsid w:val="00570A0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570A07"/>
    <w:rPr>
      <w:sz w:val="24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570A07"/>
    <w:rPr>
      <w:noProof/>
      <w:sz w:val="24"/>
    </w:rPr>
  </w:style>
  <w:style w:type="paragraph" w:customStyle="1" w:styleId="Normal12">
    <w:name w:val="Normal12"/>
    <w:basedOn w:val="Normal"/>
    <w:link w:val="Normal12Char"/>
    <w:rsid w:val="00570A0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70A07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570A07"/>
    <w:pPr>
      <w:spacing w:after="120"/>
    </w:pPr>
  </w:style>
  <w:style w:type="paragraph" w:customStyle="1" w:styleId="Normal12Italic">
    <w:name w:val="Normal12Italic"/>
    <w:basedOn w:val="Normal12"/>
    <w:rsid w:val="00570A07"/>
    <w:rPr>
      <w:i/>
    </w:rPr>
  </w:style>
  <w:style w:type="paragraph" w:customStyle="1" w:styleId="Footer2">
    <w:name w:val="Footer2"/>
    <w:basedOn w:val="Normal12"/>
    <w:rsid w:val="00570A0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70A0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70A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70A0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70A07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70A07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570A07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570A07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570A07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570A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0A07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57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70A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0A07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7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70A07"/>
    <w:rPr>
      <w:b/>
      <w:bCs/>
      <w:lang w:val="fi-FI"/>
    </w:rPr>
  </w:style>
  <w:style w:type="paragraph" w:customStyle="1" w:styleId="Point1">
    <w:name w:val="Point 1"/>
    <w:basedOn w:val="Normal"/>
    <w:rsid w:val="00570A0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70A07"/>
    <w:rPr>
      <w:i/>
      <w:iCs/>
    </w:rPr>
  </w:style>
  <w:style w:type="paragraph" w:styleId="Revision">
    <w:name w:val="Revision"/>
    <w:hidden/>
    <w:uiPriority w:val="99"/>
    <w:semiHidden/>
    <w:rsid w:val="00570A07"/>
    <w:rPr>
      <w:sz w:val="24"/>
      <w:lang w:val="fi-FI"/>
    </w:rPr>
  </w:style>
  <w:style w:type="paragraph" w:customStyle="1" w:styleId="Normal12a">
    <w:name w:val="Normal12a"/>
    <w:basedOn w:val="Normal"/>
    <w:rsid w:val="00570A07"/>
    <w:pPr>
      <w:spacing w:after="240"/>
    </w:pPr>
  </w:style>
  <w:style w:type="paragraph" w:customStyle="1" w:styleId="RollCallVotes">
    <w:name w:val="RollCallVotes"/>
    <w:basedOn w:val="Normal"/>
    <w:rsid w:val="00570A0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70A0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70A0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70A07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355A48"/>
  </w:style>
  <w:style w:type="paragraph" w:customStyle="1" w:styleId="Title1">
    <w:name w:val="Title1"/>
    <w:basedOn w:val="Normal"/>
    <w:next w:val="Normal"/>
    <w:uiPriority w:val="10"/>
    <w:qFormat/>
    <w:rsid w:val="00355A48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5A48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355A48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5A48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355A48"/>
    <w:rPr>
      <w:b/>
      <w:bCs/>
    </w:rPr>
  </w:style>
  <w:style w:type="paragraph" w:customStyle="1" w:styleId="NoSpacing1">
    <w:name w:val="No Spacing1"/>
    <w:basedOn w:val="Normal"/>
    <w:next w:val="NoSpacing"/>
    <w:uiPriority w:val="1"/>
    <w:qFormat/>
    <w:rsid w:val="00355A48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55A48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355A48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5A48"/>
    <w:rPr>
      <w:rFonts w:ascii="Times New Roman" w:hAnsi="Times New Roman"/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355A48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A48"/>
    <w:rPr>
      <w:rFonts w:ascii="Times New Roman" w:hAnsi="Times New Roman"/>
      <w:b/>
      <w:i/>
      <w:sz w:val="24"/>
    </w:rPr>
  </w:style>
  <w:style w:type="character" w:customStyle="1" w:styleId="SubtleEmphasis1">
    <w:name w:val="Subtle Emphasis1"/>
    <w:uiPriority w:val="19"/>
    <w:qFormat/>
    <w:rsid w:val="00355A48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355A4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55A4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55A48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355A48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355A48"/>
  </w:style>
  <w:style w:type="paragraph" w:customStyle="1" w:styleId="TOC41">
    <w:name w:val="TOC 41"/>
    <w:basedOn w:val="Normal"/>
    <w:next w:val="Normal"/>
    <w:uiPriority w:val="39"/>
    <w:semiHidden/>
    <w:unhideWhenUsed/>
    <w:rsid w:val="00355A4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55A48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55A48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55A48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55A48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55A48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355A48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355A48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355A48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55A48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55A48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355A4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55A4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55A48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355A48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355A48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355A48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355A48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355A48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355A48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355A48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355A48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355A48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355A48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355A48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355A48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355A48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355A48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355A48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355A48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355A48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355A48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355A48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355A48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355A48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355A4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355A4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355A4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355A4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355A4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355A4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355A4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355A4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355A4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355A4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355A4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355A4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355A4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355A48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355A48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355A48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355A48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355A48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355A48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355A48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355A48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355A48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355A48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355A48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355A48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355A48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355A48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355A48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55A48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55A48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55A48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355A48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55A4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55A4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55A4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55A4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55A4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55A4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55A4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55A48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55A48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55A48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55A48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355A4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355A4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355A4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355A4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355A4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355A4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355A4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355A4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355A4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355A48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355A48"/>
    <w:pPr>
      <w:widowControl/>
      <w:numPr>
        <w:numId w:val="15"/>
      </w:numPr>
      <w:tabs>
        <w:tab w:val="clear" w:pos="1417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355A48"/>
    <w:pPr>
      <w:widowControl/>
      <w:numPr>
        <w:numId w:val="16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355A48"/>
    <w:pPr>
      <w:widowControl/>
      <w:numPr>
        <w:numId w:val="17"/>
      </w:numPr>
      <w:tabs>
        <w:tab w:val="clear" w:pos="2551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355A48"/>
    <w:pPr>
      <w:widowControl/>
      <w:numPr>
        <w:numId w:val="18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355A48"/>
    <w:pPr>
      <w:widowControl/>
      <w:numPr>
        <w:numId w:val="19"/>
      </w:numPr>
      <w:tabs>
        <w:tab w:val="clear" w:pos="3685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355A48"/>
    <w:pPr>
      <w:widowControl/>
      <w:numPr>
        <w:numId w:val="20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355A48"/>
    <w:pPr>
      <w:widowControl/>
      <w:numPr>
        <w:numId w:val="21"/>
      </w:numPr>
      <w:tabs>
        <w:tab w:val="clear" w:pos="4819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355A48"/>
    <w:pPr>
      <w:widowControl/>
      <w:numPr>
        <w:numId w:val="22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55A48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55A48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55A48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355A4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55A48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55A48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55A48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55A48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55A48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55A48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355A48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55A48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55A48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55A48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55A48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55A4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55A4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55A48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355A48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355A48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355A48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355A48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355A48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355A48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55A48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355A48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55A48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55A48"/>
    <w:pPr>
      <w:spacing w:before="240"/>
    </w:pPr>
  </w:style>
  <w:style w:type="paragraph" w:customStyle="1" w:styleId="Accordtitre">
    <w:name w:val="Accord titre"/>
    <w:basedOn w:val="Normal"/>
    <w:rsid w:val="00355A48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355A4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355A4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55A48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55A48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55A48"/>
    <w:pPr>
      <w:spacing w:after="240"/>
    </w:pPr>
  </w:style>
  <w:style w:type="paragraph" w:customStyle="1" w:styleId="Annexetitre">
    <w:name w:val="Annexe titre"/>
    <w:basedOn w:val="Normal"/>
    <w:next w:val="Normal"/>
    <w:rsid w:val="00355A48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55A48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355A4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355A48"/>
    <w:rPr>
      <w:rFonts w:ascii="Times New Roman" w:hAnsi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unhideWhenUsed/>
    <w:rsid w:val="00355A4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55A4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355A4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355A4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355A4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55A48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55A48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55A48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55A48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55A48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55A48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55A48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55A48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55A48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55A48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55A48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55A48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55A48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55A48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55A48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55A48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55A48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55A48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55A48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55A48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55A48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55A4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355A48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355A4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55A48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355A4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A4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55A48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55A48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355A48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A48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355A4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paragraph" w:styleId="NoSpacing">
    <w:name w:val="No Spacing"/>
    <w:uiPriority w:val="1"/>
    <w:qFormat/>
    <w:rsid w:val="00355A48"/>
    <w:pPr>
      <w:widowControl w:val="0"/>
    </w:pPr>
    <w:rPr>
      <w:sz w:val="24"/>
      <w:lang w:val="fi-FI"/>
    </w:rPr>
  </w:style>
  <w:style w:type="paragraph" w:styleId="ListParagraph">
    <w:name w:val="List Paragraph"/>
    <w:basedOn w:val="Normal"/>
    <w:uiPriority w:val="34"/>
    <w:qFormat/>
    <w:rsid w:val="00355A4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55A48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355A48"/>
    <w:rPr>
      <w:i/>
      <w:iCs/>
      <w:color w:val="404040" w:themeColor="text1" w:themeTint="BF"/>
      <w:sz w:val="24"/>
      <w:lang w:val="fi-F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A4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355A48"/>
    <w:rPr>
      <w:i/>
      <w:iCs/>
      <w:color w:val="5B9BD5" w:themeColor="accent1"/>
      <w:sz w:val="24"/>
      <w:lang w:val="fi-FI"/>
    </w:rPr>
  </w:style>
  <w:style w:type="character" w:styleId="SubtleEmphasis">
    <w:name w:val="Subtle Emphasis"/>
    <w:basedOn w:val="DefaultParagraphFont"/>
    <w:uiPriority w:val="19"/>
    <w:qFormat/>
    <w:rsid w:val="00355A48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355A48"/>
    <w:rPr>
      <w:b/>
      <w:bCs/>
      <w:i/>
      <w:iCs/>
      <w:spacing w:val="5"/>
    </w:rPr>
  </w:style>
  <w:style w:type="paragraph" w:styleId="EndnoteText">
    <w:name w:val="endnote text"/>
    <w:basedOn w:val="Normal"/>
    <w:link w:val="EndnoteTextChar1"/>
    <w:rsid w:val="00355A4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355A48"/>
    <w:rPr>
      <w:lang w:val="fi-FI"/>
    </w:rPr>
  </w:style>
  <w:style w:type="character" w:styleId="FollowedHyperlink">
    <w:name w:val="FollowedHyperlink"/>
    <w:basedOn w:val="DefaultParagraphFont"/>
    <w:rsid w:val="00355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485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2026-04-14T13:46:00Z</dcterms:created>
  <dcterms:modified xsi:type="dcterms:W3CDTF">2026-04-14T13:46:00Z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