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2EC8" w14:paraId="674B152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911FE1" w14:textId="6DE80E79" w:rsidR="00751A4A" w:rsidRPr="006D2EC8" w:rsidRDefault="00953646" w:rsidP="0010095E">
            <w:pPr>
              <w:pStyle w:val="EPName"/>
            </w:pPr>
            <w:r w:rsidRPr="006D2EC8">
              <w:t>Parlement européen</w:t>
            </w:r>
          </w:p>
          <w:p w14:paraId="6580ACCA" w14:textId="77777777" w:rsidR="00751A4A" w:rsidRPr="006D2EC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2EC8">
              <w:t>2024</w:t>
            </w:r>
            <w:r w:rsidR="00817416" w:rsidRPr="006D2EC8">
              <w:t>-202</w:t>
            </w:r>
            <w:r w:rsidRPr="006D2EC8">
              <w:t>9</w:t>
            </w:r>
          </w:p>
        </w:tc>
        <w:tc>
          <w:tcPr>
            <w:tcW w:w="2268" w:type="dxa"/>
            <w:shd w:val="clear" w:color="auto" w:fill="auto"/>
          </w:tcPr>
          <w:p w14:paraId="1471A81D" w14:textId="77777777" w:rsidR="00751A4A" w:rsidRPr="006D2EC8" w:rsidRDefault="00187494" w:rsidP="0010095E">
            <w:pPr>
              <w:pStyle w:val="EPLogo"/>
            </w:pPr>
            <w:r w:rsidRPr="006D2EC8">
              <w:rPr>
                <w:noProof/>
                <w:lang w:eastAsia="ja-JP"/>
              </w:rPr>
              <w:drawing>
                <wp:inline distT="0" distB="0" distL="0" distR="0" wp14:anchorId="2AF24C67" wp14:editId="2C69E57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76A6D2" w14:textId="77777777" w:rsidR="00D058B8" w:rsidRPr="006D2EC8" w:rsidRDefault="00D058B8" w:rsidP="004C5D52">
      <w:pPr>
        <w:pStyle w:val="LineTop"/>
      </w:pPr>
    </w:p>
    <w:p w14:paraId="50EAAE97" w14:textId="2378D455" w:rsidR="00680577" w:rsidRPr="006D2EC8" w:rsidRDefault="00953646" w:rsidP="00680577">
      <w:pPr>
        <w:pStyle w:val="EPBodyTA1"/>
      </w:pPr>
      <w:r w:rsidRPr="006D2EC8">
        <w:t>TEXTES ADOPTÉS</w:t>
      </w:r>
    </w:p>
    <w:p w14:paraId="5638AAB3" w14:textId="77777777" w:rsidR="00D058B8" w:rsidRPr="006D2EC8" w:rsidRDefault="00D058B8" w:rsidP="00D058B8">
      <w:pPr>
        <w:pStyle w:val="LineBottom"/>
      </w:pPr>
    </w:p>
    <w:p w14:paraId="042F7409" w14:textId="51B870A0" w:rsidR="00953646" w:rsidRPr="006D2EC8" w:rsidRDefault="00953646" w:rsidP="00953646">
      <w:pPr>
        <w:pStyle w:val="ATHeading1"/>
      </w:pPr>
      <w:bookmarkStart w:id="0" w:name="TANumber"/>
      <w:r w:rsidRPr="006D2EC8">
        <w:t>P10_TA(2026)00</w:t>
      </w:r>
      <w:r w:rsidR="00273DA5">
        <w:t>28</w:t>
      </w:r>
      <w:bookmarkEnd w:id="0"/>
    </w:p>
    <w:p w14:paraId="3F271383" w14:textId="46CD33EE" w:rsidR="00953646" w:rsidRPr="006D2EC8" w:rsidRDefault="00953646" w:rsidP="00953646">
      <w:pPr>
        <w:pStyle w:val="ATHeading2"/>
      </w:pPr>
      <w:bookmarkStart w:id="1" w:name="title"/>
      <w:r w:rsidRPr="006D2EC8">
        <w:t>M</w:t>
      </w:r>
      <w:r w:rsidR="005A6D81">
        <w:t>odification de règlements relatifs aux produits agricoles en ce qui concerne des règles du marché et mesures de soutien sectoriel dans le secteur vitivinicole et pour les produits vinicoles aromatisés</w:t>
      </w:r>
      <w:bookmarkEnd w:id="1"/>
    </w:p>
    <w:p w14:paraId="592B4603" w14:textId="77777777" w:rsidR="00953646" w:rsidRPr="006D2EC8" w:rsidRDefault="00953646" w:rsidP="00953646">
      <w:pPr>
        <w:rPr>
          <w:i/>
          <w:vanish/>
        </w:rPr>
      </w:pPr>
      <w:r w:rsidRPr="006D2EC8">
        <w:rPr>
          <w:i/>
        </w:rPr>
        <w:fldChar w:fldCharType="begin"/>
      </w:r>
      <w:r w:rsidRPr="006D2EC8">
        <w:rPr>
          <w:i/>
        </w:rPr>
        <w:instrText xml:space="preserve"> TC"(</w:instrText>
      </w:r>
      <w:bookmarkStart w:id="2" w:name="DocNumber"/>
      <w:r w:rsidRPr="006D2EC8">
        <w:rPr>
          <w:i/>
        </w:rPr>
        <w:instrText>A10-0220/2025</w:instrText>
      </w:r>
      <w:bookmarkEnd w:id="2"/>
      <w:r w:rsidRPr="006D2EC8">
        <w:rPr>
          <w:i/>
        </w:rPr>
        <w:instrText xml:space="preserve"> - Rapporteure: Esther Herranz García)"\l3 \n&gt; \* MERGEFORMAT </w:instrText>
      </w:r>
      <w:r w:rsidRPr="006D2EC8">
        <w:rPr>
          <w:i/>
        </w:rPr>
        <w:fldChar w:fldCharType="end"/>
      </w:r>
    </w:p>
    <w:p w14:paraId="6BB6202F" w14:textId="77777777" w:rsidR="00953646" w:rsidRPr="006D2EC8" w:rsidRDefault="00953646" w:rsidP="00953646">
      <w:pPr>
        <w:rPr>
          <w:vanish/>
        </w:rPr>
      </w:pPr>
      <w:bookmarkStart w:id="3" w:name="Commission"/>
      <w:r w:rsidRPr="006D2EC8">
        <w:rPr>
          <w:vanish/>
        </w:rPr>
        <w:t>Commission de l’agriculture et du développement rural</w:t>
      </w:r>
      <w:bookmarkEnd w:id="3"/>
    </w:p>
    <w:p w14:paraId="4895EF30" w14:textId="77777777" w:rsidR="00953646" w:rsidRPr="006D2EC8" w:rsidRDefault="00953646" w:rsidP="00953646">
      <w:pPr>
        <w:rPr>
          <w:vanish/>
        </w:rPr>
      </w:pPr>
      <w:bookmarkStart w:id="4" w:name="PE"/>
      <w:r w:rsidRPr="006D2EC8">
        <w:rPr>
          <w:vanish/>
        </w:rPr>
        <w:t>PE774.316</w:t>
      </w:r>
      <w:bookmarkEnd w:id="4"/>
    </w:p>
    <w:p w14:paraId="4CDEAD18" w14:textId="0F54CA76" w:rsidR="00953646" w:rsidRPr="006D2EC8" w:rsidRDefault="00953646" w:rsidP="00953646">
      <w:pPr>
        <w:pStyle w:val="ATHeading3"/>
      </w:pPr>
      <w:bookmarkStart w:id="5" w:name="Sujet"/>
      <w:r w:rsidRPr="006D2EC8">
        <w:t xml:space="preserve">Résolution législative du Parlement européen du </w:t>
      </w:r>
      <w:r w:rsidR="005A6D81">
        <w:t>10 février</w:t>
      </w:r>
      <w:r w:rsidRPr="006D2EC8">
        <w:t xml:space="preserve"> 2026 sur la proposition de règlement du Parlement européen et du Conseil modifiant les règlements (UE) nº 1308/2013, (UE) 2021/2115 et (UE) nº 251/2014 en ce qui concerne certaines règles du marché et mesures de soutien sectoriel dans le secteur vitivinicole et pour les produits vinicoles aromatisés</w:t>
      </w:r>
      <w:bookmarkEnd w:id="5"/>
      <w:r w:rsidRPr="006D2EC8">
        <w:t xml:space="preserve"> </w:t>
      </w:r>
      <w:bookmarkStart w:id="6" w:name="References"/>
      <w:r w:rsidRPr="006D2EC8">
        <w:t>(COM(2025)0137 – C10-0058/2025 – 2025/0071(COD))</w:t>
      </w:r>
      <w:bookmarkEnd w:id="6"/>
    </w:p>
    <w:p w14:paraId="78633E2E" w14:textId="77777777" w:rsidR="00D17D5A" w:rsidRPr="006D2EC8" w:rsidRDefault="00D17D5A" w:rsidP="00D17D5A">
      <w:pPr>
        <w:pStyle w:val="NormalBold"/>
      </w:pPr>
      <w:r w:rsidRPr="006D2EC8">
        <w:t>(Procédure législative ordinaire: première lecture)</w:t>
      </w:r>
    </w:p>
    <w:p w14:paraId="12556838" w14:textId="77777777" w:rsidR="00D17D5A" w:rsidRPr="006D2EC8" w:rsidRDefault="00D17D5A" w:rsidP="00D17D5A">
      <w:pPr>
        <w:pStyle w:val="EPComma"/>
      </w:pPr>
      <w:r w:rsidRPr="006D2EC8">
        <w:rPr>
          <w:i/>
        </w:rPr>
        <w:t>Le Parlement européen</w:t>
      </w:r>
      <w:r w:rsidRPr="006D2EC8">
        <w:t>,</w:t>
      </w:r>
    </w:p>
    <w:p w14:paraId="718BE968" w14:textId="77777777" w:rsidR="00D17D5A" w:rsidRPr="006D2EC8" w:rsidRDefault="00D17D5A" w:rsidP="00D17D5A">
      <w:pPr>
        <w:pStyle w:val="NormalHanging12a"/>
      </w:pPr>
      <w:r w:rsidRPr="006D2EC8">
        <w:t>–</w:t>
      </w:r>
      <w:r w:rsidRPr="006D2EC8">
        <w:tab/>
        <w:t>vu la proposition de la Commission au Parlement européen et au Conseil (COM(2025)0137),</w:t>
      </w:r>
    </w:p>
    <w:p w14:paraId="1F863C69" w14:textId="77777777" w:rsidR="00D17D5A" w:rsidRPr="006D2EC8" w:rsidRDefault="00D17D5A" w:rsidP="00D17D5A">
      <w:pPr>
        <w:pStyle w:val="NormalHanging12a"/>
      </w:pPr>
      <w:r w:rsidRPr="006D2EC8">
        <w:t>–</w:t>
      </w:r>
      <w:r w:rsidRPr="006D2EC8">
        <w:tab/>
        <w:t>vu l’article 294, paragraphe 2, l’article 42, premier alinéa, et l’article 43, paragraphe 2, du traité sur le fonctionnement de l’Union européenne, conformément auxquels la proposition lui a été présentée par la Commission (C10</w:t>
      </w:r>
      <w:r w:rsidRPr="006D2EC8">
        <w:noBreakHyphen/>
        <w:t>0058/2025),</w:t>
      </w:r>
    </w:p>
    <w:p w14:paraId="7BC844E8" w14:textId="77777777" w:rsidR="00D17D5A" w:rsidRPr="006D2EC8" w:rsidRDefault="00D17D5A" w:rsidP="00D17D5A">
      <w:pPr>
        <w:pStyle w:val="NormalHanging12a"/>
      </w:pPr>
      <w:r w:rsidRPr="006D2EC8">
        <w:t>–</w:t>
      </w:r>
      <w:r w:rsidRPr="006D2EC8">
        <w:tab/>
        <w:t>vu l’article 294, paragraphe 3, du traité sur le fonctionnement de l’Union européenne,</w:t>
      </w:r>
    </w:p>
    <w:p w14:paraId="4D088466" w14:textId="2EA293AE" w:rsidR="00D17D5A" w:rsidRPr="006D2EC8" w:rsidRDefault="00D17D5A" w:rsidP="00D17D5A">
      <w:pPr>
        <w:pStyle w:val="NormalHanging12a"/>
      </w:pPr>
      <w:r w:rsidRPr="006D2EC8">
        <w:t>–</w:t>
      </w:r>
      <w:r w:rsidRPr="006D2EC8">
        <w:tab/>
        <w:t>vu l’avis du Comité économique et social européen du 17 juillet 2025</w:t>
      </w:r>
      <w:r w:rsidRPr="006D2EC8">
        <w:rPr>
          <w:rStyle w:val="FootnoteReference"/>
        </w:rPr>
        <w:footnoteReference w:id="1"/>
      </w:r>
      <w:r w:rsidRPr="006D2EC8">
        <w:t>,</w:t>
      </w:r>
    </w:p>
    <w:p w14:paraId="5ACC0A4E" w14:textId="407AE875" w:rsidR="00D17D5A" w:rsidRDefault="00D17D5A" w:rsidP="00D17D5A">
      <w:pPr>
        <w:pStyle w:val="NormalHanging12a"/>
      </w:pPr>
      <w:r w:rsidRPr="006D2EC8">
        <w:t>–</w:t>
      </w:r>
      <w:r w:rsidRPr="006D2EC8">
        <w:tab/>
        <w:t xml:space="preserve">vu l’avis du Comité des régions du </w:t>
      </w:r>
      <w:r w:rsidR="00A32F6F">
        <w:t>2</w:t>
      </w:r>
      <w:r w:rsidRPr="006D2EC8">
        <w:t> juillet 2025</w:t>
      </w:r>
      <w:r w:rsidRPr="006D2EC8">
        <w:rPr>
          <w:rStyle w:val="FootnoteReference"/>
        </w:rPr>
        <w:footnoteReference w:id="2"/>
      </w:r>
      <w:r w:rsidRPr="006D2EC8">
        <w:t>,</w:t>
      </w:r>
    </w:p>
    <w:p w14:paraId="4E06061E" w14:textId="70336CDE" w:rsidR="004336D1" w:rsidRPr="006D2EC8" w:rsidRDefault="004336D1" w:rsidP="00D17D5A">
      <w:pPr>
        <w:pStyle w:val="NormalHanging12a"/>
      </w:pPr>
      <w:r w:rsidRPr="004336D1">
        <w:t>–</w:t>
      </w:r>
      <w:r w:rsidRPr="004336D1">
        <w:tab/>
        <w:t xml:space="preserve">vu l’accord provisoire approuvé en vertu de l’article 75, paragraphe 4, de son règlement intérieur par la commission compétente et l’engagement pris par le représentant du Conseil, par lettre du </w:t>
      </w:r>
      <w:r>
        <w:t>16 décembre 2025</w:t>
      </w:r>
      <w:r w:rsidRPr="004336D1">
        <w:t>, d’approuver la position du Parlement européen, conformément à l’article 294, paragraphe 4, du traité sur le fonctionnement de l’Union européenne,</w:t>
      </w:r>
    </w:p>
    <w:p w14:paraId="60B43697" w14:textId="77777777" w:rsidR="00D17D5A" w:rsidRPr="006D2EC8" w:rsidRDefault="00D17D5A" w:rsidP="00D17D5A">
      <w:pPr>
        <w:pStyle w:val="NormalHanging12a"/>
      </w:pPr>
      <w:r w:rsidRPr="006D2EC8">
        <w:lastRenderedPageBreak/>
        <w:t>–</w:t>
      </w:r>
      <w:r w:rsidRPr="006D2EC8">
        <w:tab/>
        <w:t>vu l’article 60 de son règlement intérieur,</w:t>
      </w:r>
    </w:p>
    <w:p w14:paraId="7C9F1A0A" w14:textId="77777777" w:rsidR="00D17D5A" w:rsidRPr="006D2EC8" w:rsidRDefault="00D17D5A" w:rsidP="00D17D5A">
      <w:pPr>
        <w:pStyle w:val="NormalHanging12a"/>
      </w:pPr>
      <w:r w:rsidRPr="006D2EC8">
        <w:t>–</w:t>
      </w:r>
      <w:r w:rsidRPr="006D2EC8">
        <w:tab/>
        <w:t>vu le rapport de la commission de l’agriculture et du développement rural (A10-0220/2025),</w:t>
      </w:r>
    </w:p>
    <w:p w14:paraId="7EB6F401" w14:textId="77777777" w:rsidR="00D17D5A" w:rsidRPr="006D2EC8" w:rsidRDefault="00D17D5A" w:rsidP="00D17D5A">
      <w:pPr>
        <w:pStyle w:val="NormalHanging12a"/>
      </w:pPr>
      <w:r w:rsidRPr="006D2EC8">
        <w:t>1.</w:t>
      </w:r>
      <w:r w:rsidRPr="006D2EC8">
        <w:tab/>
        <w:t>arrête la position en première lecture figurant ci-après;</w:t>
      </w:r>
    </w:p>
    <w:p w14:paraId="2D9A3D30" w14:textId="5516CB4E" w:rsidR="004336D1" w:rsidRPr="004336D1" w:rsidRDefault="004336D1" w:rsidP="00D17D5A">
      <w:pPr>
        <w:pStyle w:val="NormalHanging12a"/>
        <w:rPr>
          <w:bCs/>
          <w:iCs/>
        </w:rPr>
      </w:pPr>
      <w:r w:rsidRPr="00273DA5">
        <w:rPr>
          <w:bCs/>
          <w:iCs/>
        </w:rPr>
        <w:t>2.</w:t>
      </w:r>
      <w:r w:rsidRPr="00273DA5">
        <w:rPr>
          <w:bCs/>
          <w:iCs/>
        </w:rPr>
        <w:tab/>
        <w:t xml:space="preserve">prend note de la déclaration de la Commission annexée à la présente résolution, qui sera publiée dans la série C du </w:t>
      </w:r>
      <w:r w:rsidRPr="00273DA5">
        <w:rPr>
          <w:bCs/>
          <w:i/>
        </w:rPr>
        <w:t>Journal officiel de l’Union européenne</w:t>
      </w:r>
      <w:r w:rsidRPr="00273DA5">
        <w:rPr>
          <w:bCs/>
          <w:iCs/>
        </w:rPr>
        <w:t>;</w:t>
      </w:r>
    </w:p>
    <w:p w14:paraId="4BBBCCAA" w14:textId="6452C6C9" w:rsidR="00D17D5A" w:rsidRPr="006D2EC8" w:rsidRDefault="004336D1" w:rsidP="00D17D5A">
      <w:pPr>
        <w:pStyle w:val="NormalHanging12a"/>
      </w:pPr>
      <w:r>
        <w:t>3</w:t>
      </w:r>
      <w:r w:rsidR="00D17D5A" w:rsidRPr="006D2EC8">
        <w:t>.</w:t>
      </w:r>
      <w:r w:rsidR="00D17D5A" w:rsidRPr="006D2EC8">
        <w:tab/>
        <w:t>demande à la Commission de le saisir à nouveau, si elle remplace, modifie de manière substantielle ou entend modifier de manière substantielle sa proposition;</w:t>
      </w:r>
    </w:p>
    <w:p w14:paraId="7EA76ACC" w14:textId="56A0FE63" w:rsidR="00D17D5A" w:rsidRPr="006D2EC8" w:rsidRDefault="004336D1" w:rsidP="00D17D5A">
      <w:pPr>
        <w:pStyle w:val="NormalHanging12a"/>
      </w:pPr>
      <w:r>
        <w:t>4</w:t>
      </w:r>
      <w:r w:rsidR="00D17D5A" w:rsidRPr="006D2EC8">
        <w:t>.</w:t>
      </w:r>
      <w:r w:rsidR="00D17D5A" w:rsidRPr="006D2EC8">
        <w:tab/>
        <w:t>charge sa Présidente de transmettre la position du Parlement au Conseil et à la Commission ainsi qu’aux parlements nationaux.</w:t>
      </w:r>
    </w:p>
    <w:p w14:paraId="748662C9" w14:textId="77777777" w:rsidR="004336D1" w:rsidRDefault="004336D1" w:rsidP="00D17D5A">
      <w:pPr>
        <w:sectPr w:rsidR="004336D1" w:rsidSect="006D2EC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288B147" w14:textId="77777777" w:rsidR="004336D1" w:rsidRPr="00763275" w:rsidRDefault="004336D1" w:rsidP="004336D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5</w:t>
      </w:r>
      <w:r w:rsidRPr="00763275">
        <w:rPr>
          <w:b/>
          <w:bCs/>
          <w:color w:val="000000"/>
        </w:rPr>
        <w:t>)0</w:t>
      </w:r>
      <w:r>
        <w:rPr>
          <w:b/>
          <w:bCs/>
          <w:color w:val="000000"/>
        </w:rPr>
        <w:t>071</w:t>
      </w:r>
    </w:p>
    <w:p w14:paraId="5AF21E60" w14:textId="711C1D46" w:rsidR="004336D1" w:rsidRPr="004336D1" w:rsidRDefault="004336D1" w:rsidP="004336D1">
      <w:pPr>
        <w:spacing w:after="240"/>
        <w:rPr>
          <w:rFonts w:eastAsia="Calibri"/>
          <w:b/>
          <w:szCs w:val="22"/>
          <w:lang w:eastAsia="en-US"/>
        </w:rPr>
      </w:pPr>
      <w:r w:rsidRPr="0070765D">
        <w:rPr>
          <w:b/>
        </w:rPr>
        <w:t xml:space="preserve">Position du Parlement européen arrêtée en </w:t>
      </w:r>
      <w:r w:rsidRPr="004336D1">
        <w:rPr>
          <w:b/>
        </w:rPr>
        <w:t xml:space="preserve">première lecture le </w:t>
      </w:r>
      <w:r>
        <w:rPr>
          <w:b/>
        </w:rPr>
        <w:t>10 février</w:t>
      </w:r>
      <w:r w:rsidRPr="004336D1">
        <w:rPr>
          <w:b/>
        </w:rPr>
        <w:t xml:space="preserve"> 202</w:t>
      </w:r>
      <w:r>
        <w:rPr>
          <w:b/>
        </w:rPr>
        <w:t>6</w:t>
      </w:r>
      <w:r w:rsidRPr="004336D1">
        <w:rPr>
          <w:b/>
        </w:rPr>
        <w:t xml:space="preserve"> en vue de l’adoption du règlement (UE) 202</w:t>
      </w:r>
      <w:r w:rsidR="009758A9">
        <w:rPr>
          <w:b/>
        </w:rPr>
        <w:t>6</w:t>
      </w:r>
      <w:r w:rsidRPr="004336D1">
        <w:rPr>
          <w:b/>
        </w:rPr>
        <w:t xml:space="preserve">/... du Parlement européen et du Conseil </w:t>
      </w:r>
      <w:r w:rsidRPr="004336D1">
        <w:rPr>
          <w:rFonts w:eastAsia="Aptos"/>
          <w:b/>
          <w:kern w:val="2"/>
          <w:szCs w:val="24"/>
          <w:lang w:eastAsia="en-US"/>
          <w14:ligatures w14:val="standardContextual"/>
        </w:rPr>
        <w:t>modifiant les règlements (UE) nº 1308/2013, (UE) nº 251/2014 et (UE) 2021/2115 en ce qui concerne certaines règles du marché et mesures de soutien sectoriel dans le secteur vitivinicole et pour les produits vinicoles aromatisés</w:t>
      </w:r>
      <w:r w:rsidRPr="00BA080E">
        <w:rPr>
          <w:rFonts w:eastAsia="Aptos"/>
          <w:b/>
          <w:iCs/>
          <w:kern w:val="2"/>
          <w:szCs w:val="24"/>
          <w:lang w:eastAsia="en-US"/>
          <w14:ligatures w14:val="standardContextual"/>
        </w:rPr>
        <w:t>, et le règlement (UE) 2024/1143 en ce qui concerne certaines règles d’étiquetage pour les boissons spiritueuses</w:t>
      </w:r>
    </w:p>
    <w:p w14:paraId="26B929CA" w14:textId="38BB3E20" w:rsidR="00BA080E" w:rsidRPr="0070765D" w:rsidRDefault="00BA080E" w:rsidP="00BA080E">
      <w:pPr>
        <w:pStyle w:val="Datedadoption"/>
        <w:spacing w:after="24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</w:t>
      </w:r>
      <w:r>
        <w:rPr>
          <w:b w:val="0"/>
          <w:i/>
          <w:szCs w:val="24"/>
        </w:rPr>
        <w:t>6</w:t>
      </w:r>
      <w:r w:rsidRPr="0070765D">
        <w:rPr>
          <w:b w:val="0"/>
          <w:i/>
          <w:szCs w:val="24"/>
        </w:rPr>
        <w:t>/</w:t>
      </w:r>
      <w:r>
        <w:rPr>
          <w:b w:val="0"/>
          <w:i/>
          <w:szCs w:val="24"/>
        </w:rPr>
        <w:t>471</w:t>
      </w:r>
      <w:r w:rsidRPr="0070765D">
        <w:rPr>
          <w:b w:val="0"/>
          <w:i/>
          <w:szCs w:val="24"/>
        </w:rPr>
        <w:t>.)</w:t>
      </w:r>
    </w:p>
    <w:p w14:paraId="65F83F90" w14:textId="77777777" w:rsidR="004336D1" w:rsidRDefault="004336D1">
      <w:pPr>
        <w:widowControl/>
        <w:rPr>
          <w:rFonts w:eastAsia="Aptos"/>
          <w:i/>
          <w:kern w:val="2"/>
          <w:szCs w:val="24"/>
          <w:lang w:eastAsia="en-US"/>
          <w14:ligatures w14:val="standardContextual"/>
        </w:rPr>
      </w:pPr>
      <w:r>
        <w:rPr>
          <w:rFonts w:eastAsia="Aptos"/>
          <w:i/>
          <w:kern w:val="2"/>
          <w:szCs w:val="24"/>
          <w:lang w:eastAsia="en-US"/>
          <w14:ligatures w14:val="standardContextual"/>
        </w:rPr>
        <w:br w:type="page"/>
      </w:r>
    </w:p>
    <w:p w14:paraId="00339EC5" w14:textId="77777777" w:rsidR="009758A9" w:rsidRPr="009758A9" w:rsidRDefault="009758A9" w:rsidP="00BA080E">
      <w:pPr>
        <w:pStyle w:val="Normal12a"/>
        <w:spacing w:after="600"/>
        <w:jc w:val="right"/>
        <w:rPr>
          <w:caps/>
          <w:u w:val="single"/>
        </w:rPr>
      </w:pPr>
      <w:r w:rsidRPr="009758A9">
        <w:rPr>
          <w:caps/>
          <w:u w:val="single"/>
        </w:rPr>
        <w:lastRenderedPageBreak/>
        <w:t>ANNEXE à la RéSOLUTION LéGISLATIVE</w:t>
      </w:r>
    </w:p>
    <w:p w14:paraId="6393A1EA" w14:textId="00A9F8EA" w:rsidR="009758A9" w:rsidRDefault="009758A9" w:rsidP="00273DA5">
      <w:pPr>
        <w:pStyle w:val="Normal12a"/>
        <w:spacing w:line="360" w:lineRule="auto"/>
        <w:jc w:val="center"/>
      </w:pPr>
      <w:r>
        <w:t>Déclaration de la Commission à l'occasion de l'adoption du règlement (UE) 2026/</w:t>
      </w:r>
      <w:r w:rsidR="00BA080E">
        <w:t>471</w:t>
      </w:r>
      <w:r>
        <w:t xml:space="preserve"> du Parlement européen et du Conseil du </w:t>
      </w:r>
      <w:r w:rsidR="00BA080E">
        <w:t>24 février 20</w:t>
      </w:r>
      <w:r>
        <w:t>26</w:t>
      </w:r>
      <w:r w:rsidR="00BA080E">
        <w:rPr>
          <w:rStyle w:val="FootnoteReference"/>
        </w:rPr>
        <w:footnoteReference w:id="3"/>
      </w:r>
      <w:r>
        <w:t xml:space="preserve"> modifiant les règlements (UE) n° 1308/2013, (UE) n° 251/2014 et (UE) 2021/2115 en ce qui concerne certaines règles du marché et mesures de soutien sectoriel dans le secteur vitivinicole et pour les produits vinicoles aromatisés, et le règlement (UE) 2024/1143 en ce qui concerne certaines règles d'étiquetage pour les boissons spiritueuses</w:t>
      </w:r>
    </w:p>
    <w:p w14:paraId="31B772B6" w14:textId="77777777" w:rsidR="009758A9" w:rsidRPr="00225144" w:rsidRDefault="009758A9" w:rsidP="009758A9">
      <w:pPr>
        <w:widowControl/>
        <w:spacing w:after="160" w:line="360" w:lineRule="auto"/>
        <w:rPr>
          <w:rFonts w:eastAsia="Aptos"/>
          <w:iCs/>
          <w:kern w:val="2"/>
          <w:szCs w:val="24"/>
          <w:lang w:eastAsia="en-US"/>
          <w14:ligatures w14:val="standardContextual"/>
        </w:rPr>
      </w:pPr>
      <w:r w:rsidRPr="00225144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La Commission mettra tout en œuvre pour présenter, en 2026, au groupe d’experts ou au comité compétent: </w:t>
      </w:r>
    </w:p>
    <w:p w14:paraId="65B88EC0" w14:textId="77777777" w:rsidR="009758A9" w:rsidRPr="00225144" w:rsidRDefault="009758A9" w:rsidP="00273DA5">
      <w:pPr>
        <w:widowControl/>
        <w:numPr>
          <w:ilvl w:val="0"/>
          <w:numId w:val="45"/>
        </w:numPr>
        <w:spacing w:after="160" w:line="360" w:lineRule="auto"/>
        <w:ind w:left="709" w:hanging="709"/>
        <w:rPr>
          <w:rFonts w:eastAsia="Aptos"/>
          <w:iCs/>
          <w:kern w:val="2"/>
          <w:szCs w:val="24"/>
          <w:lang w:eastAsia="en-US"/>
          <w14:ligatures w14:val="standardContextual"/>
        </w:rPr>
      </w:pPr>
      <w:r w:rsidRPr="00225144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un projet d’acte d’exécution modifiant le règlement (UE) 2018/274 relatif à la possibilité de prolonger l’application de la </w:t>
      </w:r>
      <w:r w:rsidRPr="00225144">
        <w:rPr>
          <w:rFonts w:eastAsia="Aptos"/>
          <w:b/>
          <w:iCs/>
          <w:kern w:val="2"/>
          <w:szCs w:val="24"/>
          <w:lang w:eastAsia="en-US"/>
          <w14:ligatures w14:val="standardContextual"/>
        </w:rPr>
        <w:t>procédure simplifiée d’octroi des autorisations de replantations</w:t>
      </w:r>
      <w:r w:rsidRPr="00225144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prévue à l’article 9 dudit règlement;</w:t>
      </w:r>
    </w:p>
    <w:p w14:paraId="74494565" w14:textId="77777777" w:rsidR="009758A9" w:rsidRPr="00225144" w:rsidRDefault="009758A9" w:rsidP="00273DA5">
      <w:pPr>
        <w:widowControl/>
        <w:numPr>
          <w:ilvl w:val="0"/>
          <w:numId w:val="45"/>
        </w:numPr>
        <w:spacing w:after="160" w:line="360" w:lineRule="auto"/>
        <w:ind w:left="709" w:hanging="709"/>
        <w:rPr>
          <w:rFonts w:eastAsia="Aptos"/>
          <w:iCs/>
          <w:kern w:val="2"/>
          <w:szCs w:val="24"/>
          <w:lang w:eastAsia="en-US"/>
          <w14:ligatures w14:val="standardContextual"/>
        </w:rPr>
      </w:pPr>
      <w:r w:rsidRPr="00225144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un projet de modification du règlement délégué (UE) 2019/33 de la Commission en vue de définir le système de l’Union permettant d’identifier, sur l’emballage ou l’étiquette des produits de la vigne, les </w:t>
      </w:r>
      <w:r w:rsidRPr="00225144">
        <w:rPr>
          <w:rFonts w:eastAsia="Aptos"/>
          <w:b/>
          <w:iCs/>
          <w:kern w:val="2"/>
          <w:szCs w:val="24"/>
          <w:lang w:eastAsia="en-US"/>
          <w14:ligatures w14:val="standardContextual"/>
        </w:rPr>
        <w:t>moyens électroniques</w:t>
      </w:r>
      <w:r w:rsidRPr="00225144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visés à l’article 119, paragraphes 4 et 5, du règlement (UE) nº 1308/2013;</w:t>
      </w:r>
    </w:p>
    <w:p w14:paraId="39F8383E" w14:textId="77777777" w:rsidR="009758A9" w:rsidRPr="00225144" w:rsidRDefault="009758A9" w:rsidP="00273DA5">
      <w:pPr>
        <w:widowControl/>
        <w:numPr>
          <w:ilvl w:val="0"/>
          <w:numId w:val="45"/>
        </w:numPr>
        <w:spacing w:after="160" w:line="360" w:lineRule="auto"/>
        <w:ind w:hanging="720"/>
        <w:rPr>
          <w:rFonts w:eastAsia="Aptos"/>
          <w:iCs/>
          <w:kern w:val="2"/>
          <w:szCs w:val="24"/>
          <w:lang w:eastAsia="en-US"/>
          <w14:ligatures w14:val="standardContextual"/>
        </w:rPr>
      </w:pPr>
      <w:r w:rsidRPr="00225144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un projet de modification du règlement délégué (UE) 2019/934 de la Commission visant à inclure, dans la </w:t>
      </w:r>
      <w:r w:rsidRPr="00225144">
        <w:rPr>
          <w:rFonts w:eastAsia="Aptos"/>
          <w:b/>
          <w:iCs/>
          <w:kern w:val="2"/>
          <w:szCs w:val="24"/>
          <w:lang w:eastAsia="en-US"/>
          <w14:ligatures w14:val="standardContextual"/>
        </w:rPr>
        <w:t>définition du «coupage»</w:t>
      </w:r>
      <w:r w:rsidRPr="00225144">
        <w:rPr>
          <w:rFonts w:eastAsia="Aptos"/>
          <w:iCs/>
          <w:kern w:val="2"/>
          <w:szCs w:val="24"/>
          <w:lang w:eastAsia="en-US"/>
          <w14:ligatures w14:val="standardContextual"/>
        </w:rPr>
        <w:t>, la possibilité de mélanger des vins</w:t>
      </w:r>
      <w:r w:rsidRPr="00225144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 w:rsidRPr="00225144">
        <w:rPr>
          <w:rFonts w:eastAsia="Aptos"/>
          <w:iCs/>
          <w:kern w:val="2"/>
          <w:szCs w:val="24"/>
          <w:lang w:eastAsia="en-US"/>
          <w14:ligatures w14:val="standardContextual"/>
        </w:rPr>
        <w:t>désalcoolisés ou partiellement désalcoolisés avec des vins tranquilles afin de produire des vins partiellement désalcoolisés;</w:t>
      </w:r>
    </w:p>
    <w:p w14:paraId="40B0FFAB" w14:textId="5DA3466F" w:rsidR="004336D1" w:rsidRPr="009758A9" w:rsidRDefault="009758A9" w:rsidP="00273DA5">
      <w:pPr>
        <w:widowControl/>
        <w:numPr>
          <w:ilvl w:val="0"/>
          <w:numId w:val="45"/>
        </w:numPr>
        <w:tabs>
          <w:tab w:val="left" w:pos="5669"/>
        </w:tabs>
        <w:spacing w:after="160" w:line="360" w:lineRule="auto"/>
        <w:ind w:hanging="720"/>
        <w:rPr>
          <w:rFonts w:eastAsia="Calibri"/>
          <w:i/>
          <w:szCs w:val="22"/>
          <w:lang w:eastAsia="en-US"/>
        </w:rPr>
      </w:pPr>
      <w:r w:rsidRPr="009758A9">
        <w:rPr>
          <w:rFonts w:eastAsia="Aptos"/>
          <w:iCs/>
          <w:kern w:val="2"/>
          <w:szCs w:val="24"/>
          <w:lang w:eastAsia="en-US"/>
          <w14:ligatures w14:val="standardContextual"/>
        </w:rPr>
        <w:t>un projet d’acte délégué établissant les conditions d’</w:t>
      </w:r>
      <w:r w:rsidRPr="009758A9">
        <w:rPr>
          <w:rFonts w:eastAsia="Aptos"/>
          <w:b/>
          <w:iCs/>
          <w:kern w:val="2"/>
          <w:szCs w:val="24"/>
          <w:lang w:eastAsia="en-US"/>
          <w14:ligatures w14:val="standardContextual"/>
        </w:rPr>
        <w:t>arrachage des vignobles abandonnés</w:t>
      </w:r>
      <w:r w:rsidRPr="009758A9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visées au nouvel article 62, paragraphe 6, du règlement (UE) nº 1308/2013.</w:t>
      </w:r>
    </w:p>
    <w:sectPr w:rsidR="004336D1" w:rsidRPr="009758A9" w:rsidSect="006D2EC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84C28" w14:textId="77777777" w:rsidR="00953646" w:rsidRPr="006D2EC8" w:rsidRDefault="00953646">
      <w:r w:rsidRPr="006D2EC8">
        <w:separator/>
      </w:r>
    </w:p>
  </w:endnote>
  <w:endnote w:type="continuationSeparator" w:id="0">
    <w:p w14:paraId="311C5454" w14:textId="77777777" w:rsidR="00953646" w:rsidRPr="006D2EC8" w:rsidRDefault="00953646">
      <w:r w:rsidRPr="006D2E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4763E" w14:textId="77777777" w:rsidR="00064002" w:rsidRPr="006D2E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E11B4" w14:textId="77777777" w:rsidR="00064002" w:rsidRPr="006D2E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91D99" w14:textId="77777777" w:rsidR="00064002" w:rsidRPr="006D2E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C855F" w14:textId="77777777" w:rsidR="00953646" w:rsidRPr="006D2EC8" w:rsidRDefault="00953646">
      <w:r w:rsidRPr="006D2EC8">
        <w:separator/>
      </w:r>
    </w:p>
  </w:footnote>
  <w:footnote w:type="continuationSeparator" w:id="0">
    <w:p w14:paraId="0B288DB1" w14:textId="77777777" w:rsidR="00953646" w:rsidRPr="006D2EC8" w:rsidRDefault="00953646">
      <w:r w:rsidRPr="006D2EC8">
        <w:continuationSeparator/>
      </w:r>
    </w:p>
  </w:footnote>
  <w:footnote w:id="1">
    <w:p w14:paraId="121B8EF6" w14:textId="3E47941B" w:rsidR="00D17D5A" w:rsidRPr="00B261DC" w:rsidRDefault="00D17D5A" w:rsidP="006D2EC8">
      <w:pPr>
        <w:pStyle w:val="FootnoteText"/>
        <w:ind w:left="567" w:hanging="567"/>
        <w:rPr>
          <w:sz w:val="24"/>
          <w:lang w:val="fi-FI"/>
        </w:rPr>
      </w:pPr>
      <w:r w:rsidRPr="006D2EC8">
        <w:rPr>
          <w:rStyle w:val="FootnoteReference"/>
          <w:sz w:val="24"/>
        </w:rPr>
        <w:footnoteRef/>
      </w:r>
      <w:r w:rsidR="006D2EC8" w:rsidRPr="00B261DC">
        <w:rPr>
          <w:sz w:val="24"/>
          <w:lang w:val="fi-FI"/>
        </w:rPr>
        <w:t xml:space="preserve"> </w:t>
      </w:r>
      <w:r w:rsidR="006D2EC8" w:rsidRPr="00B261DC">
        <w:rPr>
          <w:sz w:val="24"/>
          <w:lang w:val="fi-FI"/>
        </w:rPr>
        <w:tab/>
      </w:r>
      <w:r w:rsidRPr="00B261DC">
        <w:rPr>
          <w:sz w:val="24"/>
          <w:lang w:val="fi-FI"/>
        </w:rPr>
        <w:t>JO C, C/202</w:t>
      </w:r>
      <w:r w:rsidR="005A6D81" w:rsidRPr="00B261DC">
        <w:rPr>
          <w:sz w:val="24"/>
          <w:lang w:val="fi-FI"/>
        </w:rPr>
        <w:t>5</w:t>
      </w:r>
      <w:r w:rsidRPr="00B261DC">
        <w:rPr>
          <w:sz w:val="24"/>
          <w:lang w:val="fi-FI"/>
        </w:rPr>
        <w:t>/</w:t>
      </w:r>
      <w:r w:rsidR="005A6D81" w:rsidRPr="00B261DC">
        <w:rPr>
          <w:sz w:val="24"/>
          <w:lang w:val="fi-FI"/>
        </w:rPr>
        <w:t>5161</w:t>
      </w:r>
      <w:r w:rsidRPr="00B261DC">
        <w:rPr>
          <w:sz w:val="24"/>
          <w:lang w:val="fi-FI"/>
        </w:rPr>
        <w:t xml:space="preserve">, </w:t>
      </w:r>
      <w:r w:rsidR="005A6D81" w:rsidRPr="00B261DC">
        <w:rPr>
          <w:sz w:val="24"/>
          <w:lang w:val="fi-FI"/>
        </w:rPr>
        <w:t>28.10.2025</w:t>
      </w:r>
      <w:r w:rsidRPr="00B261DC">
        <w:rPr>
          <w:sz w:val="24"/>
          <w:lang w:val="fi-FI"/>
        </w:rPr>
        <w:t xml:space="preserve">, ELI: </w:t>
      </w:r>
      <w:hyperlink r:id="rId1" w:history="1">
        <w:r w:rsidR="00BA080E">
          <w:rPr>
            <w:rStyle w:val="Hyperlink"/>
            <w:sz w:val="24"/>
            <w:lang w:val="fi-FI"/>
          </w:rPr>
          <w:t>http://data.europa.eu/eli/C/2025/5161/oj</w:t>
        </w:r>
      </w:hyperlink>
      <w:r w:rsidR="005A6D81" w:rsidRPr="00B261DC">
        <w:rPr>
          <w:sz w:val="24"/>
          <w:lang w:val="fi-FI"/>
        </w:rPr>
        <w:t>.</w:t>
      </w:r>
    </w:p>
  </w:footnote>
  <w:footnote w:id="2">
    <w:p w14:paraId="46482199" w14:textId="5E49EEF3" w:rsidR="00D17D5A" w:rsidRPr="00B261DC" w:rsidRDefault="00D17D5A" w:rsidP="006D2EC8">
      <w:pPr>
        <w:pStyle w:val="FootnoteText"/>
        <w:ind w:left="567" w:hanging="567"/>
        <w:rPr>
          <w:sz w:val="24"/>
          <w:szCs w:val="24"/>
          <w:lang w:val="fi-FI"/>
        </w:rPr>
      </w:pPr>
      <w:r w:rsidRPr="006D2EC8">
        <w:rPr>
          <w:rStyle w:val="FootnoteReference"/>
          <w:sz w:val="24"/>
        </w:rPr>
        <w:footnoteRef/>
      </w:r>
      <w:r w:rsidR="006D2EC8" w:rsidRPr="00B261DC">
        <w:rPr>
          <w:sz w:val="24"/>
          <w:lang w:val="fi-FI"/>
        </w:rPr>
        <w:t xml:space="preserve"> </w:t>
      </w:r>
      <w:r w:rsidR="006D2EC8" w:rsidRPr="00B261DC">
        <w:rPr>
          <w:sz w:val="24"/>
          <w:lang w:val="fi-FI"/>
        </w:rPr>
        <w:tab/>
      </w:r>
      <w:r w:rsidRPr="00B261DC">
        <w:rPr>
          <w:sz w:val="24"/>
          <w:lang w:val="fi-FI"/>
        </w:rPr>
        <w:t>JO C, C/202</w:t>
      </w:r>
      <w:r w:rsidR="005A6D81" w:rsidRPr="00B261DC">
        <w:rPr>
          <w:sz w:val="24"/>
          <w:lang w:val="fi-FI"/>
        </w:rPr>
        <w:t>5</w:t>
      </w:r>
      <w:r w:rsidRPr="00B261DC">
        <w:rPr>
          <w:sz w:val="24"/>
          <w:lang w:val="fi-FI"/>
        </w:rPr>
        <w:t>/</w:t>
      </w:r>
      <w:r w:rsidR="005A6D81" w:rsidRPr="00B261DC">
        <w:rPr>
          <w:sz w:val="24"/>
          <w:lang w:val="fi-FI"/>
        </w:rPr>
        <w:t>4418</w:t>
      </w:r>
      <w:r w:rsidRPr="00B261DC">
        <w:rPr>
          <w:sz w:val="24"/>
          <w:lang w:val="fi-FI"/>
        </w:rPr>
        <w:t xml:space="preserve">, </w:t>
      </w:r>
      <w:r w:rsidR="005A6D81" w:rsidRPr="00B261DC">
        <w:rPr>
          <w:sz w:val="24"/>
          <w:lang w:val="fi-FI"/>
        </w:rPr>
        <w:t>29.8.2025</w:t>
      </w:r>
      <w:r w:rsidRPr="00B261DC">
        <w:rPr>
          <w:sz w:val="24"/>
          <w:lang w:val="fi-FI"/>
        </w:rPr>
        <w:t xml:space="preserve">, ELI: </w:t>
      </w:r>
      <w:hyperlink r:id="rId2" w:history="1">
        <w:r w:rsidR="00BA080E">
          <w:rPr>
            <w:rStyle w:val="Hyperlink"/>
            <w:sz w:val="24"/>
            <w:lang w:val="fi-FI"/>
          </w:rPr>
          <w:t>http://data.europa.eu/eli/C/2025/4418</w:t>
        </w:r>
      </w:hyperlink>
      <w:r w:rsidR="005A6D81" w:rsidRPr="00B261DC">
        <w:rPr>
          <w:sz w:val="24"/>
          <w:lang w:val="fi-FI"/>
        </w:rPr>
        <w:t>.</w:t>
      </w:r>
    </w:p>
  </w:footnote>
  <w:footnote w:id="3">
    <w:p w14:paraId="13BEC8DB" w14:textId="73F655B7" w:rsidR="00BA080E" w:rsidRPr="00BA080E" w:rsidRDefault="00BA080E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BA080E">
        <w:rPr>
          <w:lang w:val="fi-FI"/>
        </w:rPr>
        <w:t xml:space="preserve"> </w:t>
      </w:r>
      <w:r w:rsidRPr="00BA080E">
        <w:rPr>
          <w:lang w:val="fi-FI"/>
        </w:rPr>
        <w:tab/>
      </w:r>
      <w:r w:rsidRPr="00BA080E">
        <w:rPr>
          <w:lang w:val="fi-FI"/>
        </w:rPr>
        <w:t>J</w:t>
      </w:r>
      <w:r>
        <w:rPr>
          <w:lang w:val="fi-FI"/>
        </w:rPr>
        <w:t>O</w:t>
      </w:r>
      <w:r w:rsidRPr="00BA080E">
        <w:rPr>
          <w:lang w:val="fi-FI"/>
        </w:rPr>
        <w:t xml:space="preserve"> L, 2026/471, 26.2.2026, ELI: </w:t>
      </w:r>
      <w:hyperlink r:id="rId3" w:history="1">
        <w:r>
          <w:rPr>
            <w:rStyle w:val="Hyperlink"/>
            <w:lang w:val="fi-FI"/>
          </w:rPr>
          <w:t>http://data.europa.eu/eli/reg/2026/471/oj</w:t>
        </w:r>
      </w:hyperlink>
      <w:r w:rsidRPr="00BA080E">
        <w:rPr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A03ED" w14:textId="77777777" w:rsidR="00064002" w:rsidRPr="006D2E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075A7" w14:textId="77777777" w:rsidR="00064002" w:rsidRPr="006D2E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9CC49" w14:textId="77777777" w:rsidR="00064002" w:rsidRPr="006D2E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547D7F45"/>
    <w:multiLevelType w:val="hybridMultilevel"/>
    <w:tmpl w:val="F48C4BB8"/>
    <w:lvl w:ilvl="0" w:tplc="2A2EA89E">
      <w:start w:val="1"/>
      <w:numFmt w:val="decimal"/>
      <w:lvlText w:val="%1)"/>
      <w:lvlJc w:val="left"/>
      <w:pPr>
        <w:ind w:left="720" w:hanging="360"/>
      </w:pPr>
      <w:rPr>
        <w:i w:val="0"/>
        <w:iCs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09898519">
    <w:abstractNumId w:val="9"/>
  </w:num>
  <w:num w:numId="2" w16cid:durableId="1697121800">
    <w:abstractNumId w:val="9"/>
  </w:num>
  <w:num w:numId="3" w16cid:durableId="68574637">
    <w:abstractNumId w:val="7"/>
  </w:num>
  <w:num w:numId="4" w16cid:durableId="438374683">
    <w:abstractNumId w:val="7"/>
  </w:num>
  <w:num w:numId="5" w16cid:durableId="1048063982">
    <w:abstractNumId w:val="6"/>
  </w:num>
  <w:num w:numId="6" w16cid:durableId="1823159251">
    <w:abstractNumId w:val="6"/>
  </w:num>
  <w:num w:numId="7" w16cid:durableId="533005262">
    <w:abstractNumId w:val="5"/>
  </w:num>
  <w:num w:numId="8" w16cid:durableId="74521583">
    <w:abstractNumId w:val="5"/>
  </w:num>
  <w:num w:numId="9" w16cid:durableId="460266195">
    <w:abstractNumId w:val="4"/>
  </w:num>
  <w:num w:numId="10" w16cid:durableId="912546174">
    <w:abstractNumId w:val="4"/>
  </w:num>
  <w:num w:numId="11" w16cid:durableId="248082491">
    <w:abstractNumId w:val="8"/>
  </w:num>
  <w:num w:numId="12" w16cid:durableId="1863085005">
    <w:abstractNumId w:val="8"/>
  </w:num>
  <w:num w:numId="13" w16cid:durableId="1169558508">
    <w:abstractNumId w:val="3"/>
  </w:num>
  <w:num w:numId="14" w16cid:durableId="227612972">
    <w:abstractNumId w:val="3"/>
  </w:num>
  <w:num w:numId="15" w16cid:durableId="1856990304">
    <w:abstractNumId w:val="2"/>
  </w:num>
  <w:num w:numId="16" w16cid:durableId="156382309">
    <w:abstractNumId w:val="2"/>
  </w:num>
  <w:num w:numId="17" w16cid:durableId="591742709">
    <w:abstractNumId w:val="1"/>
  </w:num>
  <w:num w:numId="18" w16cid:durableId="987440177">
    <w:abstractNumId w:val="1"/>
  </w:num>
  <w:num w:numId="19" w16cid:durableId="1132288426">
    <w:abstractNumId w:val="0"/>
  </w:num>
  <w:num w:numId="20" w16cid:durableId="928537780">
    <w:abstractNumId w:val="0"/>
  </w:num>
  <w:num w:numId="21" w16cid:durableId="1631938412">
    <w:abstractNumId w:val="9"/>
  </w:num>
  <w:num w:numId="22" w16cid:durableId="1528055856">
    <w:abstractNumId w:val="7"/>
  </w:num>
  <w:num w:numId="23" w16cid:durableId="1422221616">
    <w:abstractNumId w:val="6"/>
  </w:num>
  <w:num w:numId="24" w16cid:durableId="1772310939">
    <w:abstractNumId w:val="5"/>
  </w:num>
  <w:num w:numId="25" w16cid:durableId="1912426311">
    <w:abstractNumId w:val="4"/>
  </w:num>
  <w:num w:numId="26" w16cid:durableId="1631665713">
    <w:abstractNumId w:val="8"/>
  </w:num>
  <w:num w:numId="27" w16cid:durableId="1338574315">
    <w:abstractNumId w:val="3"/>
  </w:num>
  <w:num w:numId="28" w16cid:durableId="1687562836">
    <w:abstractNumId w:val="2"/>
  </w:num>
  <w:num w:numId="29" w16cid:durableId="823400967">
    <w:abstractNumId w:val="1"/>
  </w:num>
  <w:num w:numId="30" w16cid:durableId="1643657526">
    <w:abstractNumId w:val="0"/>
  </w:num>
  <w:num w:numId="31" w16cid:durableId="710497068">
    <w:abstractNumId w:val="9"/>
  </w:num>
  <w:num w:numId="32" w16cid:durableId="1418944517">
    <w:abstractNumId w:val="7"/>
  </w:num>
  <w:num w:numId="33" w16cid:durableId="764037893">
    <w:abstractNumId w:val="6"/>
  </w:num>
  <w:num w:numId="34" w16cid:durableId="1158379297">
    <w:abstractNumId w:val="5"/>
  </w:num>
  <w:num w:numId="35" w16cid:durableId="1264797460">
    <w:abstractNumId w:val="4"/>
  </w:num>
  <w:num w:numId="36" w16cid:durableId="403724269">
    <w:abstractNumId w:val="8"/>
  </w:num>
  <w:num w:numId="37" w16cid:durableId="551578625">
    <w:abstractNumId w:val="3"/>
  </w:num>
  <w:num w:numId="38" w16cid:durableId="1168210341">
    <w:abstractNumId w:val="2"/>
  </w:num>
  <w:num w:numId="39" w16cid:durableId="46607140">
    <w:abstractNumId w:val="1"/>
  </w:num>
  <w:num w:numId="40" w16cid:durableId="1148329538">
    <w:abstractNumId w:val="0"/>
  </w:num>
  <w:num w:numId="41" w16cid:durableId="467547969">
    <w:abstractNumId w:val="10"/>
  </w:num>
  <w:num w:numId="42" w16cid:durableId="1707636365">
    <w:abstractNumId w:val="10"/>
  </w:num>
  <w:num w:numId="43" w16cid:durableId="172229325">
    <w:abstractNumId w:val="10"/>
  </w:num>
  <w:num w:numId="44" w16cid:durableId="388694126">
    <w:abstractNumId w:val="11"/>
  </w:num>
  <w:num w:numId="45" w16cid:durableId="8863387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0/2025"/>
    <w:docVar w:name="dvlangue" w:val="FR"/>
    <w:docVar w:name="dvnumam" w:val="91"/>
    <w:docVar w:name="dvpe" w:val="774.316"/>
    <w:docVar w:name="dvrapporteur" w:val="Rapporteure: "/>
    <w:docVar w:name="dvstar" w:val="***I"/>
    <w:docVar w:name="dvtitre" w:val="Résolution législative du Parlement européen du ... 2026 sur la proposition de règlement du Parlement européen et du Conseil modifiant les règlements (UE) nº 1308/2013, (UE) 2021/2115 et (UE) nº 251/2014 en ce qui concerne certaines règles du marché et mesures de soutien sectoriel dans le secteur vitivinicole et pour les produits vinicoles aromatisés(COM(2025)0137 – C10-0058/2025 – 2025/0071(COD))"/>
  </w:docVars>
  <w:rsids>
    <w:rsidRoot w:val="00953646"/>
    <w:rsid w:val="00001580"/>
    <w:rsid w:val="00002272"/>
    <w:rsid w:val="00064002"/>
    <w:rsid w:val="000677B9"/>
    <w:rsid w:val="000831BA"/>
    <w:rsid w:val="000A42CC"/>
    <w:rsid w:val="000E7DD9"/>
    <w:rsid w:val="0010095E"/>
    <w:rsid w:val="00125B37"/>
    <w:rsid w:val="00163A57"/>
    <w:rsid w:val="00187494"/>
    <w:rsid w:val="001F32AE"/>
    <w:rsid w:val="00222D80"/>
    <w:rsid w:val="00273DA5"/>
    <w:rsid w:val="002767FF"/>
    <w:rsid w:val="0029179A"/>
    <w:rsid w:val="002B18FE"/>
    <w:rsid w:val="002B5493"/>
    <w:rsid w:val="00334C38"/>
    <w:rsid w:val="00343214"/>
    <w:rsid w:val="00361C00"/>
    <w:rsid w:val="00395FA1"/>
    <w:rsid w:val="003E15D4"/>
    <w:rsid w:val="00411CCE"/>
    <w:rsid w:val="0041666E"/>
    <w:rsid w:val="00421060"/>
    <w:rsid w:val="004336D1"/>
    <w:rsid w:val="00471C19"/>
    <w:rsid w:val="004867E3"/>
    <w:rsid w:val="00494A28"/>
    <w:rsid w:val="004C0004"/>
    <w:rsid w:val="004C5D52"/>
    <w:rsid w:val="0050519A"/>
    <w:rsid w:val="005072A1"/>
    <w:rsid w:val="00511604"/>
    <w:rsid w:val="00514517"/>
    <w:rsid w:val="00545827"/>
    <w:rsid w:val="00560270"/>
    <w:rsid w:val="005A6D81"/>
    <w:rsid w:val="005C2568"/>
    <w:rsid w:val="005F1B17"/>
    <w:rsid w:val="006037C0"/>
    <w:rsid w:val="006631B6"/>
    <w:rsid w:val="00680577"/>
    <w:rsid w:val="006D2EC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5A9B"/>
    <w:rsid w:val="009304D8"/>
    <w:rsid w:val="00930C23"/>
    <w:rsid w:val="0093193B"/>
    <w:rsid w:val="009509D8"/>
    <w:rsid w:val="00950B64"/>
    <w:rsid w:val="00953646"/>
    <w:rsid w:val="00970F06"/>
    <w:rsid w:val="009758A9"/>
    <w:rsid w:val="00981893"/>
    <w:rsid w:val="009E397D"/>
    <w:rsid w:val="00A1687D"/>
    <w:rsid w:val="00A32F6F"/>
    <w:rsid w:val="00A43E52"/>
    <w:rsid w:val="00A4678D"/>
    <w:rsid w:val="00A778C7"/>
    <w:rsid w:val="00AA6C30"/>
    <w:rsid w:val="00AB441E"/>
    <w:rsid w:val="00AB6293"/>
    <w:rsid w:val="00AE0928"/>
    <w:rsid w:val="00AF3B82"/>
    <w:rsid w:val="00B12E95"/>
    <w:rsid w:val="00B22876"/>
    <w:rsid w:val="00B261DC"/>
    <w:rsid w:val="00B41A02"/>
    <w:rsid w:val="00B558F0"/>
    <w:rsid w:val="00BA080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7D5A"/>
    <w:rsid w:val="00D218B6"/>
    <w:rsid w:val="00D501B9"/>
    <w:rsid w:val="00D56C11"/>
    <w:rsid w:val="00D834A0"/>
    <w:rsid w:val="00D872DF"/>
    <w:rsid w:val="00D91E21"/>
    <w:rsid w:val="00DA7FCD"/>
    <w:rsid w:val="00E365E1"/>
    <w:rsid w:val="00E820A4"/>
    <w:rsid w:val="00EA0931"/>
    <w:rsid w:val="00EB006A"/>
    <w:rsid w:val="00EB4772"/>
    <w:rsid w:val="00ED169E"/>
    <w:rsid w:val="00ED4235"/>
    <w:rsid w:val="00F04346"/>
    <w:rsid w:val="00F075DC"/>
    <w:rsid w:val="00F1420B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158885"/>
  <w15:chartTrackingRefBased/>
  <w15:docId w15:val="{4BC8B23F-EAED-4A4B-8B72-E75CC848B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17D5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17D5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17D5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17D5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17D5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17D5A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semiHidden/>
    <w:rsid w:val="00D17D5A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D17D5A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D17D5A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nhideWhenUsed/>
    <w:qFormat/>
    <w:rsid w:val="00D17D5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17D5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17D5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17D5A"/>
    <w:pPr>
      <w:spacing w:after="120"/>
    </w:pPr>
  </w:style>
  <w:style w:type="paragraph" w:customStyle="1" w:styleId="PageHeading">
    <w:name w:val="PageHeading"/>
    <w:basedOn w:val="Normal"/>
    <w:rsid w:val="00D17D5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17D5A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D17D5A"/>
    <w:rPr>
      <w:b/>
      <w:sz w:val="24"/>
      <w:lang w:val="fr-FR"/>
    </w:rPr>
  </w:style>
  <w:style w:type="paragraph" w:customStyle="1" w:styleId="NormalBold12a">
    <w:name w:val="NormalBold12a"/>
    <w:basedOn w:val="Normal"/>
    <w:rsid w:val="00D17D5A"/>
    <w:pPr>
      <w:spacing w:after="240"/>
    </w:pPr>
    <w:rPr>
      <w:b/>
    </w:rPr>
  </w:style>
  <w:style w:type="paragraph" w:customStyle="1" w:styleId="AmJustText">
    <w:name w:val="AmJustText"/>
    <w:basedOn w:val="Normal"/>
    <w:rsid w:val="00D17D5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17D5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17D5A"/>
    <w:pPr>
      <w:spacing w:after="480"/>
      <w:ind w:left="1417"/>
    </w:pPr>
  </w:style>
  <w:style w:type="paragraph" w:customStyle="1" w:styleId="CoverNormal">
    <w:name w:val="CoverNormal"/>
    <w:basedOn w:val="Normal"/>
    <w:rsid w:val="00D17D5A"/>
    <w:pPr>
      <w:ind w:left="1418"/>
    </w:pPr>
  </w:style>
  <w:style w:type="paragraph" w:customStyle="1" w:styleId="AmCrossRef">
    <w:name w:val="AmCrossRef"/>
    <w:basedOn w:val="Normal"/>
    <w:rsid w:val="00D17D5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17D5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17D5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17D5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17D5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17D5A"/>
    <w:pPr>
      <w:spacing w:before="240" w:after="1200"/>
    </w:pPr>
  </w:style>
  <w:style w:type="paragraph" w:styleId="Header">
    <w:name w:val="header"/>
    <w:basedOn w:val="Normal"/>
    <w:link w:val="HeaderChar"/>
    <w:rsid w:val="00D17D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17D5A"/>
    <w:rPr>
      <w:sz w:val="24"/>
      <w:lang w:val="fr-FR"/>
    </w:rPr>
  </w:style>
  <w:style w:type="paragraph" w:customStyle="1" w:styleId="AmOrLang">
    <w:name w:val="AmOrLang"/>
    <w:basedOn w:val="Normal"/>
    <w:rsid w:val="00D17D5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17D5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17D5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17D5A"/>
    <w:pPr>
      <w:spacing w:before="240"/>
    </w:pPr>
    <w:rPr>
      <w:b/>
    </w:rPr>
  </w:style>
  <w:style w:type="paragraph" w:customStyle="1" w:styleId="EPBody">
    <w:name w:val="EPBody"/>
    <w:basedOn w:val="Normal"/>
    <w:rsid w:val="00D17D5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17D5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17D5A"/>
    <w:pPr>
      <w:spacing w:before="480" w:after="240"/>
    </w:pPr>
  </w:style>
  <w:style w:type="paragraph" w:customStyle="1" w:styleId="Lgendesigne">
    <w:name w:val="Légende signe"/>
    <w:basedOn w:val="Normal"/>
    <w:rsid w:val="00D17D5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17D5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17D5A"/>
    <w:rPr>
      <w:sz w:val="18"/>
    </w:rPr>
  </w:style>
  <w:style w:type="character" w:customStyle="1" w:styleId="FooterChar">
    <w:name w:val="Footer Char"/>
    <w:basedOn w:val="DefaultParagraphFont"/>
    <w:link w:val="Footer"/>
    <w:rsid w:val="00D17D5A"/>
    <w:rPr>
      <w:sz w:val="22"/>
    </w:rPr>
  </w:style>
  <w:style w:type="paragraph" w:styleId="Footer">
    <w:name w:val="footer"/>
    <w:link w:val="FooterChar"/>
    <w:unhideWhenUsed/>
    <w:rsid w:val="00D17D5A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D17D5A"/>
    <w:rPr>
      <w:sz w:val="24"/>
      <w:lang w:val="fr-FR"/>
    </w:rPr>
  </w:style>
  <w:style w:type="character" w:customStyle="1" w:styleId="Normal12Char">
    <w:name w:val="Normal12 Char"/>
    <w:basedOn w:val="DefaultParagraphFont"/>
    <w:link w:val="Normal12"/>
    <w:locked/>
    <w:rsid w:val="00D17D5A"/>
    <w:rPr>
      <w:noProof/>
      <w:sz w:val="24"/>
    </w:rPr>
  </w:style>
  <w:style w:type="paragraph" w:customStyle="1" w:styleId="Normal12">
    <w:name w:val="Normal12"/>
    <w:basedOn w:val="Normal"/>
    <w:link w:val="Normal12Char"/>
    <w:rsid w:val="00D17D5A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D17D5A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D17D5A"/>
    <w:pPr>
      <w:spacing w:after="120"/>
    </w:pPr>
  </w:style>
  <w:style w:type="paragraph" w:customStyle="1" w:styleId="Normal12Italic">
    <w:name w:val="Normal12Italic"/>
    <w:basedOn w:val="Normal12"/>
    <w:rsid w:val="00D17D5A"/>
    <w:rPr>
      <w:i/>
    </w:rPr>
  </w:style>
  <w:style w:type="paragraph" w:customStyle="1" w:styleId="Footer2">
    <w:name w:val="Footer2"/>
    <w:basedOn w:val="Normal12"/>
    <w:rsid w:val="00D17D5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D17D5A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D17D5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D17D5A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D17D5A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D17D5A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D17D5A"/>
    <w:pPr>
      <w:spacing w:before="240"/>
      <w:jc w:val="center"/>
    </w:pPr>
    <w:rPr>
      <w:i/>
    </w:rPr>
  </w:style>
  <w:style w:type="paragraph" w:styleId="NormalWeb">
    <w:name w:val="Normal (Web)"/>
    <w:basedOn w:val="Normal"/>
    <w:uiPriority w:val="99"/>
    <w:unhideWhenUsed/>
    <w:rsid w:val="00D17D5A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D17D5A"/>
    <w:rPr>
      <w:color w:val="0563C1"/>
      <w:u w:val="single"/>
    </w:rPr>
  </w:style>
  <w:style w:type="paragraph" w:styleId="BalloonText">
    <w:name w:val="Balloon Text"/>
    <w:basedOn w:val="Normal"/>
    <w:link w:val="BalloonTextChar"/>
    <w:unhideWhenUsed/>
    <w:rsid w:val="00D17D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17D5A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D17D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17D5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17D5A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17D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7D5A"/>
    <w:rPr>
      <w:b/>
      <w:bCs/>
      <w:lang w:val="fr-FR"/>
    </w:rPr>
  </w:style>
  <w:style w:type="paragraph" w:customStyle="1" w:styleId="Point1">
    <w:name w:val="Point 1"/>
    <w:basedOn w:val="Normal"/>
    <w:rsid w:val="00D17D5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D17D5A"/>
    <w:rPr>
      <w:i/>
      <w:iCs/>
    </w:rPr>
  </w:style>
  <w:style w:type="paragraph" w:styleId="Revision">
    <w:name w:val="Revision"/>
    <w:hidden/>
    <w:uiPriority w:val="99"/>
    <w:semiHidden/>
    <w:rsid w:val="00D17D5A"/>
    <w:rPr>
      <w:sz w:val="24"/>
      <w:lang w:val="fr-FR"/>
    </w:rPr>
  </w:style>
  <w:style w:type="paragraph" w:customStyle="1" w:styleId="Normal12a">
    <w:name w:val="Normal12a"/>
    <w:basedOn w:val="Normal"/>
    <w:rsid w:val="00D17D5A"/>
    <w:pPr>
      <w:spacing w:after="240"/>
    </w:pPr>
  </w:style>
  <w:style w:type="paragraph" w:customStyle="1" w:styleId="RollCallVotes">
    <w:name w:val="RollCallVotes"/>
    <w:basedOn w:val="Normal"/>
    <w:rsid w:val="00D17D5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17D5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17D5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17D5A"/>
    <w:pPr>
      <w:spacing w:before="120" w:after="120"/>
    </w:pPr>
    <w:rPr>
      <w:snapToGrid w:val="0"/>
      <w:sz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17D5A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4336D1"/>
    <w:rPr>
      <w:color w:val="0563C1"/>
      <w:u w:val="single"/>
    </w:rPr>
  </w:style>
  <w:style w:type="character" w:customStyle="1" w:styleId="Hyperlink2">
    <w:name w:val="Hyperlink2"/>
    <w:basedOn w:val="DefaultParagraphFont"/>
    <w:uiPriority w:val="99"/>
    <w:unhideWhenUsed/>
    <w:rsid w:val="004336D1"/>
    <w:rPr>
      <w:color w:val="0563C1"/>
      <w:u w:val="single"/>
    </w:rPr>
  </w:style>
  <w:style w:type="paragraph" w:customStyle="1" w:styleId="Datedadoption">
    <w:name w:val="Date d'adoption"/>
    <w:basedOn w:val="Normal"/>
    <w:next w:val="Normal"/>
    <w:rsid w:val="00BA080E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471/oj" TargetMode="External"/><Relationship Id="rId2" Type="http://schemas.openxmlformats.org/officeDocument/2006/relationships/hyperlink" Target="http://data.europa.eu/eli/C/2025/4418" TargetMode="External"/><Relationship Id="rId1" Type="http://schemas.openxmlformats.org/officeDocument/2006/relationships/hyperlink" Target="http://data.europa.eu/eli/C/2025/51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682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2026-04-14T14:09:00Z</dcterms:created>
  <dcterms:modified xsi:type="dcterms:W3CDTF">2026-04-14T14:09:00Z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P10_TA(2026)0028_</vt:lpwstr>
  </property>
  <property fmtid="{D5CDD505-2E9C-101B-9397-08002B2CF9AE}" pid="4" name="&lt;Type&gt;">
    <vt:lpwstr>RR</vt:lpwstr>
  </property>
</Properties>
</file>