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7B16" w14:paraId="398EA95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1B4F4C" w14:textId="77777777" w:rsidR="00751A4A" w:rsidRPr="007F7B16" w:rsidRDefault="00662E06" w:rsidP="0010095E">
            <w:pPr>
              <w:pStyle w:val="EPName"/>
            </w:pPr>
            <w:r w:rsidRPr="007F7B16">
              <w:t>Parlaimint na hEorpa</w:t>
            </w:r>
          </w:p>
          <w:p w14:paraId="48BDCD62" w14:textId="77777777" w:rsidR="00751A4A" w:rsidRPr="007F7B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7B16">
              <w:t>2024</w:t>
            </w:r>
            <w:r w:rsidR="00817416" w:rsidRPr="007F7B16">
              <w:t>-202</w:t>
            </w:r>
            <w:r w:rsidRPr="007F7B16">
              <w:t>9</w:t>
            </w:r>
          </w:p>
        </w:tc>
        <w:tc>
          <w:tcPr>
            <w:tcW w:w="2268" w:type="dxa"/>
            <w:shd w:val="clear" w:color="auto" w:fill="auto"/>
          </w:tcPr>
          <w:p w14:paraId="347CF9FA" w14:textId="77777777" w:rsidR="00751A4A" w:rsidRPr="007F7B16" w:rsidRDefault="00187494" w:rsidP="0010095E">
            <w:pPr>
              <w:pStyle w:val="EPLogo"/>
            </w:pPr>
            <w:r w:rsidRPr="007F7B16">
              <w:rPr>
                <w:noProof/>
                <w:lang w:eastAsia="ja-JP"/>
              </w:rPr>
              <w:drawing>
                <wp:inline distT="0" distB="0" distL="0" distR="0" wp14:anchorId="57C74B78" wp14:editId="13A725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0326F4" w14:textId="77777777" w:rsidR="00D058B8" w:rsidRPr="007F7B16" w:rsidRDefault="00D058B8" w:rsidP="004C5D52">
      <w:pPr>
        <w:pStyle w:val="LineTop"/>
      </w:pPr>
    </w:p>
    <w:p w14:paraId="60FA28E5" w14:textId="77777777" w:rsidR="00680577" w:rsidRPr="007F7B16" w:rsidRDefault="00662E06" w:rsidP="00680577">
      <w:pPr>
        <w:pStyle w:val="EPBodyTA1"/>
      </w:pPr>
      <w:r w:rsidRPr="007F7B16">
        <w:t xml:space="preserve">TÉACSANNA ARNA </w:t>
      </w:r>
      <w:proofErr w:type="spellStart"/>
      <w:r w:rsidRPr="007F7B16">
        <w:t>nGLACADH</w:t>
      </w:r>
      <w:proofErr w:type="spellEnd"/>
    </w:p>
    <w:p w14:paraId="77FFB341" w14:textId="77777777" w:rsidR="00D058B8" w:rsidRPr="007F7B16" w:rsidRDefault="00D058B8" w:rsidP="00D058B8">
      <w:pPr>
        <w:pStyle w:val="LineBottom"/>
      </w:pPr>
    </w:p>
    <w:p w14:paraId="278CAB31" w14:textId="0421353C" w:rsidR="00662E06" w:rsidRPr="007F7B16" w:rsidRDefault="00662E06" w:rsidP="00662E06">
      <w:pPr>
        <w:pStyle w:val="ATHeading1"/>
      </w:pPr>
      <w:bookmarkStart w:id="0" w:name="TANumber"/>
      <w:r w:rsidRPr="007F7B16">
        <w:t>P10_TA(2026)00</w:t>
      </w:r>
      <w:bookmarkEnd w:id="0"/>
      <w:r w:rsidR="005F377F">
        <w:t>28</w:t>
      </w:r>
    </w:p>
    <w:p w14:paraId="5A9043E7" w14:textId="3B40AA4A" w:rsidR="00662E06" w:rsidRPr="007F7B16" w:rsidRDefault="00576306" w:rsidP="00662E06">
      <w:pPr>
        <w:pStyle w:val="ATHeading2"/>
      </w:pPr>
      <w:r w:rsidRPr="00576306">
        <w:t>Leasú a dhéanamh ar Rialacháin</w:t>
      </w:r>
      <w:r w:rsidR="0099122C">
        <w:t xml:space="preserve"> </w:t>
      </w:r>
      <w:r w:rsidRPr="00576306">
        <w:t>maidir le táirgí talmhaíochta a mhéid a bhaineann le rialacha margaidh agus bearta tacaíochta earnála san earnáil fíona agus do tháirgí fíona cumhraithe</w:t>
      </w:r>
    </w:p>
    <w:p w14:paraId="6B89CB3C" w14:textId="71AEF335" w:rsidR="00662E06" w:rsidRPr="007F7B16" w:rsidRDefault="00662E06" w:rsidP="00662E06">
      <w:pPr>
        <w:rPr>
          <w:i/>
          <w:vanish/>
        </w:rPr>
      </w:pPr>
      <w:r w:rsidRPr="007F7B16">
        <w:rPr>
          <w:i/>
        </w:rPr>
        <w:fldChar w:fldCharType="begin"/>
      </w:r>
      <w:r w:rsidRPr="007F7B16">
        <w:rPr>
          <w:i/>
        </w:rPr>
        <w:instrText xml:space="preserve"> TC"(</w:instrText>
      </w:r>
      <w:bookmarkStart w:id="1" w:name="DocNumber"/>
      <w:r w:rsidRPr="007F7B16">
        <w:rPr>
          <w:i/>
        </w:rPr>
        <w:instrText>A10-0220/2025</w:instrText>
      </w:r>
      <w:bookmarkEnd w:id="1"/>
      <w:r w:rsidRPr="007F7B16">
        <w:rPr>
          <w:i/>
        </w:rPr>
        <w:instrText xml:space="preserve"> - Rapóirtéir:</w:instrText>
      </w:r>
      <w:r w:rsidR="00F929ED">
        <w:rPr>
          <w:i/>
        </w:rPr>
        <w:instrText xml:space="preserve"> </w:instrText>
      </w:r>
      <w:proofErr w:type="spellStart"/>
      <w:r w:rsidRPr="007F7B16">
        <w:rPr>
          <w:i/>
        </w:rPr>
        <w:instrText>Esther</w:instrText>
      </w:r>
      <w:proofErr w:type="spellEnd"/>
      <w:r w:rsidRPr="007F7B16">
        <w:rPr>
          <w:i/>
        </w:rPr>
        <w:instrText xml:space="preserve"> </w:instrText>
      </w:r>
      <w:proofErr w:type="spellStart"/>
      <w:r w:rsidRPr="007F7B16">
        <w:rPr>
          <w:i/>
        </w:rPr>
        <w:instrText>Herranz</w:instrText>
      </w:r>
      <w:proofErr w:type="spellEnd"/>
      <w:r w:rsidRPr="007F7B16">
        <w:rPr>
          <w:i/>
        </w:rPr>
        <w:instrText xml:space="preserve"> </w:instrText>
      </w:r>
      <w:proofErr w:type="spellStart"/>
      <w:r w:rsidRPr="007F7B16">
        <w:rPr>
          <w:i/>
        </w:rPr>
        <w:instrText>García</w:instrText>
      </w:r>
      <w:proofErr w:type="spellEnd"/>
      <w:r w:rsidRPr="007F7B16">
        <w:rPr>
          <w:i/>
        </w:rPr>
        <w:instrText xml:space="preserve">)"\l3 \n&gt; \* MERGEFORMAT </w:instrText>
      </w:r>
      <w:r w:rsidRPr="007F7B16">
        <w:rPr>
          <w:i/>
        </w:rPr>
        <w:fldChar w:fldCharType="end"/>
      </w:r>
    </w:p>
    <w:p w14:paraId="2046A03B" w14:textId="77777777" w:rsidR="00662E06" w:rsidRPr="007F7B16" w:rsidRDefault="00662E06" w:rsidP="00662E06">
      <w:pPr>
        <w:rPr>
          <w:vanish/>
        </w:rPr>
      </w:pPr>
      <w:bookmarkStart w:id="2" w:name="Commission"/>
      <w:r w:rsidRPr="007F7B16">
        <w:rPr>
          <w:vanish/>
        </w:rPr>
        <w:t>An Coiste um Thalmhaíocht agus um Fhorbairt Tuaithe</w:t>
      </w:r>
      <w:bookmarkEnd w:id="2"/>
    </w:p>
    <w:p w14:paraId="507DAC68" w14:textId="77777777" w:rsidR="00662E06" w:rsidRPr="007F7B16" w:rsidRDefault="00662E06" w:rsidP="00662E06">
      <w:pPr>
        <w:rPr>
          <w:vanish/>
        </w:rPr>
      </w:pPr>
      <w:bookmarkStart w:id="3" w:name="PE"/>
      <w:r w:rsidRPr="007F7B16">
        <w:rPr>
          <w:vanish/>
        </w:rPr>
        <w:t>PE774.316</w:t>
      </w:r>
      <w:bookmarkEnd w:id="3"/>
    </w:p>
    <w:p w14:paraId="004BFBBC" w14:textId="1B0FA5E1" w:rsidR="00662E06" w:rsidRPr="007F7B16" w:rsidRDefault="00662E06" w:rsidP="00662E06">
      <w:pPr>
        <w:pStyle w:val="ATHeading3"/>
      </w:pPr>
      <w:bookmarkStart w:id="4" w:name="Sujet"/>
      <w:r w:rsidRPr="007F7B16">
        <w:t xml:space="preserve">Rún reachtach ó Pharlaimint na hEorpa an </w:t>
      </w:r>
      <w:r w:rsidR="00E35D07">
        <w:t>10</w:t>
      </w:r>
      <w:r w:rsidRPr="007F7B16">
        <w:t xml:space="preserve"> </w:t>
      </w:r>
      <w:r w:rsidR="00F929ED">
        <w:t>Feabhra</w:t>
      </w:r>
      <w:r w:rsidRPr="007F7B16">
        <w:t xml:space="preserve"> 2026 ar an togra le haghaidh rialachán ó Pharlaimint na hEorpa agus ón gComhairle lena leasaítear Rialacháin (AE) Uimh. 1308/2013, Rialachán (AE) 2021/2115 agus Rialachán (AE) Uimh. 251/2014 a mhéid a bhaineann le rialacha margaidh áirithe agus bearta tacaíochta earnála áirithe in earnáil an fhíona agus le haghaidh táirgí fíona cumhraithe</w:t>
      </w:r>
      <w:bookmarkEnd w:id="4"/>
      <w:r w:rsidRPr="007F7B16">
        <w:t xml:space="preserve"> </w:t>
      </w:r>
      <w:bookmarkStart w:id="5" w:name="References"/>
      <w:r w:rsidRPr="007F7B16">
        <w:t>(COM(2025)0137 – C10-0058/2025 – 2025/0071(COD))</w:t>
      </w:r>
      <w:bookmarkEnd w:id="5"/>
    </w:p>
    <w:p w14:paraId="0D7CEF51" w14:textId="77777777" w:rsidR="00ED733F" w:rsidRPr="007F7B16" w:rsidRDefault="00ED733F" w:rsidP="00ED733F">
      <w:pPr>
        <w:pStyle w:val="NormalBold"/>
      </w:pPr>
      <w:r w:rsidRPr="007F7B16">
        <w:t>(An gnáthnós imeachta reachtach: an chéad léamh)</w:t>
      </w:r>
    </w:p>
    <w:p w14:paraId="0CF5A7CF" w14:textId="77777777" w:rsidR="00ED733F" w:rsidRPr="007F7B16" w:rsidRDefault="00ED733F" w:rsidP="00ED733F">
      <w:pPr>
        <w:pStyle w:val="EPComma"/>
      </w:pPr>
      <w:r w:rsidRPr="007F7B16">
        <w:rPr>
          <w:i/>
        </w:rPr>
        <w:t>Tá Parlaimint na hEorpa</w:t>
      </w:r>
      <w:r w:rsidRPr="007F7B16">
        <w:t>,</w:t>
      </w:r>
    </w:p>
    <w:p w14:paraId="47336F37" w14:textId="77777777" w:rsidR="00ED733F" w:rsidRPr="007F7B16" w:rsidRDefault="00ED733F" w:rsidP="00ED733F">
      <w:pPr>
        <w:pStyle w:val="NormalHanging12a"/>
      </w:pPr>
      <w:r w:rsidRPr="007F7B16">
        <w:t>–</w:t>
      </w:r>
      <w:r w:rsidRPr="007F7B16">
        <w:tab/>
        <w:t>ag féachaint don togra ón gCoimisiún chuig Parlaimint na hEorpa agus chuig an gComhairle (COM(2025)0137),</w:t>
      </w:r>
    </w:p>
    <w:p w14:paraId="1B3E619B" w14:textId="11D2976D" w:rsidR="00ED733F" w:rsidRPr="007F7B16" w:rsidRDefault="00ED733F" w:rsidP="00ED733F">
      <w:pPr>
        <w:pStyle w:val="NormalHanging12a"/>
      </w:pPr>
      <w:r w:rsidRPr="007F7B16">
        <w:t>–</w:t>
      </w:r>
      <w:r w:rsidRPr="007F7B16">
        <w:tab/>
        <w:t xml:space="preserve">ag féachaint d’Airteagal 294(2), d’Airteagal 42, an chéad mhír, agus </w:t>
      </w:r>
      <w:proofErr w:type="spellStart"/>
      <w:r w:rsidRPr="007F7B16">
        <w:t>d’Airteagal</w:t>
      </w:r>
      <w:proofErr w:type="spellEnd"/>
      <w:r w:rsidRPr="007F7B16">
        <w:t xml:space="preserve"> 43(2) den Chonradh ar Fheidhmiú an Aontais Eorpaigh, ar dá mbun a thíolaic an Coimisiún an togra do Pharlaimint na hEorpa (C10</w:t>
      </w:r>
      <w:r w:rsidRPr="007F7B16">
        <w:noBreakHyphen/>
        <w:t>0058/2025),</w:t>
      </w:r>
    </w:p>
    <w:p w14:paraId="43333BDE" w14:textId="77777777" w:rsidR="00ED733F" w:rsidRPr="007F7B16" w:rsidRDefault="00ED733F" w:rsidP="00ED733F">
      <w:pPr>
        <w:pStyle w:val="NormalHanging12a"/>
      </w:pPr>
      <w:r w:rsidRPr="007F7B16">
        <w:t>–</w:t>
      </w:r>
      <w:r w:rsidRPr="007F7B16">
        <w:tab/>
        <w:t>ag féachaint d’Airteagal 294(3) den Chonradh ar Fheidhmiú an Aontais Eorpaigh,</w:t>
      </w:r>
    </w:p>
    <w:p w14:paraId="1F8C9535" w14:textId="77777777" w:rsidR="00ED733F" w:rsidRPr="007F7B16" w:rsidRDefault="00ED733F" w:rsidP="00ED733F">
      <w:pPr>
        <w:pStyle w:val="NormalHanging12a"/>
      </w:pPr>
      <w:r w:rsidRPr="007F7B16">
        <w:t>–</w:t>
      </w:r>
      <w:r w:rsidRPr="007F7B16">
        <w:tab/>
        <w:t>ag féachaint do thuairim ó Choiste Eacnamaíoch agus Sóisialta na hEorpa an 17 Iúil 2025</w:t>
      </w:r>
      <w:r w:rsidRPr="007F7B16">
        <w:rPr>
          <w:rStyle w:val="FootnoteReference"/>
        </w:rPr>
        <w:footnoteReference w:id="1"/>
      </w:r>
      <w:r w:rsidRPr="007F7B16">
        <w:t>,</w:t>
      </w:r>
    </w:p>
    <w:p w14:paraId="6F44D8C2" w14:textId="4B24EEC4" w:rsidR="00ED733F" w:rsidRDefault="00ED733F" w:rsidP="00ED733F">
      <w:pPr>
        <w:pStyle w:val="NormalHanging12a"/>
      </w:pPr>
      <w:r w:rsidRPr="007F7B16">
        <w:t>–</w:t>
      </w:r>
      <w:r w:rsidRPr="007F7B16">
        <w:tab/>
        <w:t xml:space="preserve">ag féachaint do thuairim ó Choiste na Réigiún an </w:t>
      </w:r>
      <w:r w:rsidR="009054DC">
        <w:t>2</w:t>
      </w:r>
      <w:r w:rsidRPr="007F7B16">
        <w:t xml:space="preserve"> Iúil 2025</w:t>
      </w:r>
      <w:r w:rsidRPr="007F7B16">
        <w:rPr>
          <w:rStyle w:val="FootnoteReference"/>
        </w:rPr>
        <w:footnoteReference w:id="2"/>
      </w:r>
      <w:r w:rsidRPr="007F7B16">
        <w:t>,</w:t>
      </w:r>
    </w:p>
    <w:p w14:paraId="138F0DE0" w14:textId="37F7A667" w:rsidR="009C689F" w:rsidRPr="007F7B16" w:rsidRDefault="009C689F" w:rsidP="00ED733F">
      <w:pPr>
        <w:pStyle w:val="NormalHanging12a"/>
      </w:pPr>
      <w:r w:rsidRPr="007F7B16">
        <w:t>–</w:t>
      </w:r>
      <w:r w:rsidRPr="007F7B16">
        <w:tab/>
      </w:r>
      <w:r w:rsidRPr="009A76B4">
        <w:t>ag féachaint don chomhaontú sealadach arna fhormheas de bhun Riail 75(4) dá Rialacha Nós Imeachta ag an gcoiste freagrach, agus don ghealltanas a thug ionadaí na Comhairle i litir dar dáta an 1</w:t>
      </w:r>
      <w:r>
        <w:t>6</w:t>
      </w:r>
      <w:r w:rsidRPr="009A76B4">
        <w:t xml:space="preserve"> Nollaig 2025 go ndéanfadh sí seasamh Pharlaimint na hEorpa a fhormheas, i gcomhréir le hAirteagal 294(4) den Chonradh ar Fheidhmiú an Aontais Eorpaigh,</w:t>
      </w:r>
    </w:p>
    <w:p w14:paraId="3F3C87C2" w14:textId="77777777" w:rsidR="00ED733F" w:rsidRPr="007F7B16" w:rsidRDefault="00ED733F" w:rsidP="00ED733F">
      <w:pPr>
        <w:pStyle w:val="NormalHanging12a"/>
      </w:pPr>
      <w:r w:rsidRPr="007F7B16">
        <w:lastRenderedPageBreak/>
        <w:t>–</w:t>
      </w:r>
      <w:r w:rsidRPr="007F7B16">
        <w:tab/>
        <w:t>ag féachaint do Riail 60 dá Rialacha Nós Imeachta,</w:t>
      </w:r>
    </w:p>
    <w:p w14:paraId="1030EBEE" w14:textId="77777777" w:rsidR="00ED733F" w:rsidRPr="007F7B16" w:rsidRDefault="00ED733F" w:rsidP="00ED733F">
      <w:pPr>
        <w:pStyle w:val="NormalHanging12a"/>
      </w:pPr>
      <w:r w:rsidRPr="007F7B16">
        <w:t>–</w:t>
      </w:r>
      <w:r w:rsidRPr="007F7B16">
        <w:tab/>
        <w:t>ag féachaint don tuarascáil ón gCoiste um Thalmhaíocht agus um Fhorbairt Tuaithe (A10-0220/2025),</w:t>
      </w:r>
    </w:p>
    <w:p w14:paraId="3FD7C3C1" w14:textId="77777777" w:rsidR="00ED733F" w:rsidRDefault="00ED733F" w:rsidP="00ED733F">
      <w:pPr>
        <w:pStyle w:val="NormalHanging12a"/>
      </w:pPr>
      <w:r w:rsidRPr="007F7B16">
        <w:t>1.</w:t>
      </w:r>
      <w:r w:rsidRPr="007F7B16">
        <w:tab/>
        <w:t>ag glacadh a seasaimh ar an gcéad léamh mar a leagtar amach ina dhiaidh seo é;</w:t>
      </w:r>
    </w:p>
    <w:p w14:paraId="4722686B" w14:textId="358E7CF1" w:rsidR="009C689F" w:rsidRPr="007F7B16" w:rsidRDefault="009C689F" w:rsidP="00ED733F">
      <w:pPr>
        <w:pStyle w:val="NormalHanging12a"/>
      </w:pPr>
      <w:r>
        <w:t>2.</w:t>
      </w:r>
      <w:r>
        <w:tab/>
        <w:t xml:space="preserve">ag </w:t>
      </w:r>
      <w:r w:rsidR="00F21470">
        <w:t>cur sonrú</w:t>
      </w:r>
      <w:r>
        <w:t xml:space="preserve"> </w:t>
      </w:r>
      <w:r w:rsidR="00F21470">
        <w:t>sa</w:t>
      </w:r>
      <w:r>
        <w:t xml:space="preserve"> ráit</w:t>
      </w:r>
      <w:r w:rsidR="00F21470">
        <w:t>eas</w:t>
      </w:r>
      <w:r>
        <w:t xml:space="preserve"> </w:t>
      </w:r>
      <w:r w:rsidR="00F21470">
        <w:t xml:space="preserve">ón gCoimisiún atá i gceangal leis an rún seo, a fhoilseofar in </w:t>
      </w:r>
      <w:r w:rsidR="00F21470" w:rsidRPr="00E2290E">
        <w:rPr>
          <w:i/>
          <w:iCs/>
        </w:rPr>
        <w:t>Iris Oifigiúil an Aontais Eorpaigh</w:t>
      </w:r>
      <w:r w:rsidR="00F21470">
        <w:t xml:space="preserve"> (Sraith C);</w:t>
      </w:r>
    </w:p>
    <w:p w14:paraId="537DA917" w14:textId="62E8A23A" w:rsidR="00ED733F" w:rsidRPr="007F7B16" w:rsidRDefault="009C689F" w:rsidP="00ED733F">
      <w:pPr>
        <w:pStyle w:val="NormalHanging12a"/>
      </w:pPr>
      <w:r>
        <w:t>3</w:t>
      </w:r>
      <w:r w:rsidR="00ED733F" w:rsidRPr="007F7B16">
        <w:t>.</w:t>
      </w:r>
      <w:r w:rsidR="00ED733F" w:rsidRPr="007F7B16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16CCB95D" w14:textId="11A480C9" w:rsidR="00ED733F" w:rsidRPr="007F7B16" w:rsidRDefault="009C689F" w:rsidP="00ED733F">
      <w:pPr>
        <w:pStyle w:val="NormalHanging12a"/>
      </w:pPr>
      <w:r>
        <w:t>4</w:t>
      </w:r>
      <w:r w:rsidR="00ED733F" w:rsidRPr="007F7B16">
        <w:t>.</w:t>
      </w:r>
      <w:r w:rsidR="00ED733F" w:rsidRPr="007F7B16">
        <w:tab/>
        <w:t>á threorú dá hUachtarán a seasamh a chur ar aghaidh chuig an gComhairle, chuig an gCoimisiún agus chuig na parlaimintí náisiúnta.</w:t>
      </w:r>
    </w:p>
    <w:p w14:paraId="46EFEEBD" w14:textId="26715522" w:rsidR="00F929ED" w:rsidRDefault="00F929ED">
      <w:pPr>
        <w:widowControl/>
      </w:pPr>
      <w:r>
        <w:br w:type="page"/>
      </w:r>
    </w:p>
    <w:p w14:paraId="0434906B" w14:textId="77777777" w:rsidR="00F21470" w:rsidRPr="00763275" w:rsidRDefault="00F21470" w:rsidP="00F21470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5</w:t>
      </w:r>
      <w:r w:rsidRPr="00763275">
        <w:rPr>
          <w:b/>
          <w:bCs/>
          <w:color w:val="000000"/>
        </w:rPr>
        <w:t>)0</w:t>
      </w:r>
      <w:r>
        <w:rPr>
          <w:b/>
          <w:bCs/>
          <w:color w:val="000000"/>
        </w:rPr>
        <w:t>071</w:t>
      </w:r>
    </w:p>
    <w:p w14:paraId="04C419D5" w14:textId="56F5F1F3" w:rsidR="0057651F" w:rsidRDefault="00F21470" w:rsidP="00E2290E">
      <w:pPr>
        <w:widowControl/>
        <w:spacing w:before="360" w:after="360"/>
        <w:rPr>
          <w:rFonts w:eastAsia="Aptos"/>
          <w:b/>
          <w:kern w:val="2"/>
          <w:szCs w:val="24"/>
          <w:lang w:eastAsia="en-US"/>
          <w14:ligatures w14:val="standardContextual"/>
        </w:rPr>
      </w:pPr>
      <w:r w:rsidRPr="0057651F">
        <w:rPr>
          <w:rFonts w:eastAsia="Aptos"/>
          <w:b/>
          <w:kern w:val="2"/>
          <w:szCs w:val="24"/>
          <w:lang w:eastAsia="en-US"/>
          <w14:ligatures w14:val="standardContextual"/>
        </w:rPr>
        <w:t>Seasamh ó Pharlaimint na hEorpa arna ghlacadh ar an gcéad léamh an 10 Feabhra 2026 chun go nglacfaí Rialachán (AE) 2026/... ó Pharlaimint na hEorpa agus ón gComhairle lena leasaítear Rialacháin (AE) Uimh. 1308/2013, (AE) Uimh. 251/2014 agus (AE) 2021/2115 a mhéid a bhaineann le rialacha margaidh áirithe agus bearta tacaíochta earnála áirithe in earnáil an fhíona agus le haghaidh táirgí fíona cumhraithe agus Rialachán (AE) 2024/1143 a mhéid a bhaineann le rialacha lipéadaithe áirithe le haghaidh deochanna biotáilleacha</w:t>
      </w:r>
    </w:p>
    <w:p w14:paraId="218D0F3D" w14:textId="77777777" w:rsidR="007929E0" w:rsidRDefault="007929E0" w:rsidP="007929E0">
      <w:pPr>
        <w:widowControl/>
        <w:spacing w:before="360" w:after="360"/>
        <w:rPr>
          <w:rFonts w:eastAsia="Aptos"/>
          <w:bCs/>
          <w:i/>
          <w:iCs/>
          <w:kern w:val="2"/>
          <w:szCs w:val="24"/>
          <w:lang w:eastAsia="en-US"/>
          <w14:ligatures w14:val="standardContextual"/>
        </w:rPr>
      </w:pPr>
      <w:r w:rsidRPr="007929E0">
        <w:rPr>
          <w:rFonts w:eastAsia="Aptos"/>
          <w:bCs/>
          <w:i/>
          <w:iCs/>
          <w:kern w:val="2"/>
          <w:szCs w:val="24"/>
          <w:lang w:eastAsia="en-US"/>
          <w14:ligatures w14:val="standardContextual"/>
        </w:rPr>
        <w:t>(Ós rud é gur tháinig an Pharlaimint agus an Chomhairle ar chomhaontú, comhfhreagraíonn seasamh na Parlaiminte don ghníomh reachtach críochnaitheach, Rialachán (AE)</w:t>
      </w:r>
      <w:r>
        <w:rPr>
          <w:rFonts w:eastAsia="Aptos"/>
          <w:bCs/>
          <w:i/>
          <w:iCs/>
          <w:kern w:val="2"/>
          <w:szCs w:val="24"/>
          <w:lang w:eastAsia="en-US"/>
          <w14:ligatures w14:val="standardContextual"/>
        </w:rPr>
        <w:t xml:space="preserve"> 2026/471.)</w:t>
      </w:r>
    </w:p>
    <w:p w14:paraId="587ACEDC" w14:textId="77777777" w:rsidR="003F03F5" w:rsidRDefault="003F03F5" w:rsidP="007929E0">
      <w:pPr>
        <w:widowControl/>
        <w:spacing w:before="360" w:after="360"/>
        <w:rPr>
          <w:rFonts w:eastAsia="Aptos"/>
          <w:b/>
          <w:kern w:val="2"/>
          <w:szCs w:val="24"/>
          <w:lang w:eastAsia="en-US"/>
          <w14:ligatures w14:val="standardContextual"/>
        </w:rPr>
        <w:sectPr w:rsidR="003F03F5" w:rsidSect="007F7B1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CC97627" w14:textId="2390AC25" w:rsidR="001D2E81" w:rsidRDefault="00F21470" w:rsidP="003F03F5">
      <w:pPr>
        <w:spacing w:after="240"/>
        <w:jc w:val="right"/>
        <w:rPr>
          <w:szCs w:val="24"/>
        </w:rPr>
      </w:pPr>
      <w:r w:rsidRPr="003F03F5">
        <w:rPr>
          <w:szCs w:val="24"/>
        </w:rPr>
        <w:lastRenderedPageBreak/>
        <w:t>IARSCRÍBHINN A GHABHANN LEIS AN RÚN REACHTACH</w:t>
      </w:r>
    </w:p>
    <w:p w14:paraId="18BA0D51" w14:textId="77777777" w:rsidR="003F03F5" w:rsidRPr="003F03F5" w:rsidRDefault="003F03F5" w:rsidP="003F03F5">
      <w:pPr>
        <w:spacing w:after="240"/>
        <w:jc w:val="right"/>
        <w:rPr>
          <w:szCs w:val="24"/>
        </w:rPr>
      </w:pPr>
    </w:p>
    <w:p w14:paraId="5E0259B7" w14:textId="265A6124" w:rsidR="00F21470" w:rsidRPr="003F03F5" w:rsidRDefault="00F21470" w:rsidP="00E2290E">
      <w:pPr>
        <w:tabs>
          <w:tab w:val="left" w:pos="2595"/>
        </w:tabs>
        <w:spacing w:after="240" w:line="360" w:lineRule="auto"/>
        <w:rPr>
          <w:rFonts w:eastAsia="Aptos"/>
          <w:kern w:val="2"/>
          <w:szCs w:val="24"/>
          <w:lang w:eastAsia="en-US"/>
          <w14:ligatures w14:val="standardContextual"/>
        </w:rPr>
      </w:pPr>
      <w:r w:rsidRPr="003F03F5">
        <w:rPr>
          <w:rFonts w:eastAsia="Aptos"/>
          <w:kern w:val="2"/>
          <w:szCs w:val="24"/>
          <w:lang w:eastAsia="en-US"/>
          <w14:ligatures w14:val="standardContextual"/>
        </w:rPr>
        <w:t>Ráiteas ón gCoimisiún tráth a glacadh Rialachán (AE) 2026</w:t>
      </w:r>
      <w:r w:rsidR="00E277A1">
        <w:rPr>
          <w:rFonts w:eastAsia="Aptos"/>
          <w:kern w:val="2"/>
          <w:szCs w:val="24"/>
          <w:lang w:eastAsia="en-US"/>
          <w14:ligatures w14:val="standardContextual"/>
        </w:rPr>
        <w:t xml:space="preserve">/471 </w:t>
      </w:r>
      <w:r w:rsidRPr="003F03F5">
        <w:rPr>
          <w:rFonts w:eastAsia="Aptos"/>
          <w:kern w:val="2"/>
          <w:szCs w:val="24"/>
          <w:lang w:eastAsia="en-US"/>
          <w14:ligatures w14:val="standardContextual"/>
        </w:rPr>
        <w:t xml:space="preserve">ó Pharlaimint na hEorpa agus ón gComhairle an </w:t>
      </w:r>
      <w:r w:rsidR="003F03F5" w:rsidRPr="003F03F5">
        <w:rPr>
          <w:rFonts w:eastAsia="Aptos"/>
          <w:kern w:val="2"/>
          <w:szCs w:val="24"/>
          <w:lang w:eastAsia="en-US"/>
          <w14:ligatures w14:val="standardContextual"/>
        </w:rPr>
        <w:t>24 Feabhra</w:t>
      </w:r>
      <w:r w:rsidR="003F03F5">
        <w:rPr>
          <w:rFonts w:eastAsia="Aptos"/>
          <w:kern w:val="2"/>
          <w:szCs w:val="24"/>
          <w:lang w:eastAsia="en-US"/>
          <w14:ligatures w14:val="standardContextual"/>
        </w:rPr>
        <w:t xml:space="preserve"> </w:t>
      </w:r>
      <w:r w:rsidRPr="003F03F5">
        <w:rPr>
          <w:rFonts w:eastAsia="Aptos"/>
          <w:kern w:val="2"/>
          <w:szCs w:val="24"/>
          <w:lang w:eastAsia="en-US"/>
          <w14:ligatures w14:val="standardContextual"/>
        </w:rPr>
        <w:t>2026</w:t>
      </w:r>
      <w:r w:rsidR="003F03F5">
        <w:rPr>
          <w:rStyle w:val="FootnoteReference"/>
        </w:rPr>
        <w:footnoteReference w:id="3"/>
      </w:r>
      <w:r w:rsidRPr="003F03F5">
        <w:rPr>
          <w:rFonts w:eastAsia="Aptos"/>
          <w:kern w:val="2"/>
          <w:szCs w:val="24"/>
          <w:lang w:eastAsia="en-US"/>
          <w14:ligatures w14:val="standardContextual"/>
        </w:rPr>
        <w:t xml:space="preserve"> lena leasaítear Rialacháin (AE) Uimh. 1308/2013, (AE) Uimh. 251/2014, agus (AE) 2021/2115 a mhéid a bhaineann le rialacha margaidh áirithe agus bearta tacaíochta earnála áirithe in earnáil an fhíona agus le haghaidh táirgí fíona cumhraithe, agus Rialachán (AE) 2024/1143 a mhéid a bhaineann le rialacha lipéadaithe áirithe le haghaidh deochanna biotáilleacha</w:t>
      </w:r>
    </w:p>
    <w:p w14:paraId="1B38AF54" w14:textId="77777777" w:rsidR="00F21470" w:rsidRPr="003F03F5" w:rsidRDefault="00F21470" w:rsidP="00E2290E">
      <w:pPr>
        <w:widowControl/>
        <w:spacing w:after="160" w:line="360" w:lineRule="auto"/>
        <w:rPr>
          <w:rFonts w:eastAsia="Aptos"/>
          <w:kern w:val="2"/>
          <w:szCs w:val="24"/>
          <w:lang w:eastAsia="en-US"/>
          <w14:ligatures w14:val="standardContextual"/>
        </w:rPr>
      </w:pPr>
      <w:r w:rsidRPr="003F03F5">
        <w:rPr>
          <w:rFonts w:eastAsia="Aptos"/>
          <w:kern w:val="2"/>
          <w:szCs w:val="24"/>
          <w:lang w:eastAsia="en-US"/>
          <w14:ligatures w14:val="standardContextual"/>
        </w:rPr>
        <w:t>Déanfaidh an Coimisiún a dhícheall</w:t>
      </w:r>
      <w:r w:rsidRPr="003F03F5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 </w:t>
      </w:r>
      <w:r w:rsidRPr="003F03F5">
        <w:rPr>
          <w:rFonts w:eastAsia="Aptos"/>
          <w:kern w:val="2"/>
          <w:szCs w:val="24"/>
          <w:lang w:eastAsia="en-US"/>
          <w14:ligatures w14:val="standardContextual"/>
        </w:rPr>
        <w:t xml:space="preserve">an méid seo a leanas a chur i láthair an </w:t>
      </w:r>
      <w:proofErr w:type="spellStart"/>
      <w:r w:rsidRPr="003F03F5">
        <w:rPr>
          <w:rFonts w:eastAsia="Aptos"/>
          <w:kern w:val="2"/>
          <w:szCs w:val="24"/>
          <w:lang w:eastAsia="en-US"/>
          <w14:ligatures w14:val="standardContextual"/>
        </w:rPr>
        <w:t>tsainghrúpa</w:t>
      </w:r>
      <w:proofErr w:type="spellEnd"/>
      <w:r w:rsidRPr="003F03F5">
        <w:rPr>
          <w:rFonts w:eastAsia="Aptos"/>
          <w:kern w:val="2"/>
          <w:szCs w:val="24"/>
          <w:lang w:eastAsia="en-US"/>
          <w14:ligatures w14:val="standardContextual"/>
        </w:rPr>
        <w:t xml:space="preserve"> nó an choiste ábhartha in 2026: </w:t>
      </w:r>
    </w:p>
    <w:p w14:paraId="68AAE7EE" w14:textId="77777777" w:rsidR="00F21470" w:rsidRPr="003F03F5" w:rsidRDefault="00F21470" w:rsidP="00E2290E">
      <w:pPr>
        <w:widowControl/>
        <w:numPr>
          <w:ilvl w:val="0"/>
          <w:numId w:val="45"/>
        </w:numPr>
        <w:spacing w:after="160" w:line="360" w:lineRule="auto"/>
        <w:rPr>
          <w:rFonts w:eastAsia="Aptos"/>
          <w:iCs/>
          <w:kern w:val="2"/>
          <w:szCs w:val="24"/>
          <w:lang w:eastAsia="en-US"/>
          <w14:ligatures w14:val="standardContextual"/>
        </w:rPr>
      </w:pPr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dréachtghníomh cur chun feidhme lena leasaítear Rialachán (AE) 2018/274 a bhaineann leis an bhféidearthacht leathnú a dhéanamh ar chur i bhfeidhm </w:t>
      </w:r>
      <w:r w:rsidRPr="003F03F5">
        <w:rPr>
          <w:rFonts w:eastAsia="Aptos"/>
          <w:b/>
          <w:iCs/>
          <w:kern w:val="2"/>
          <w:szCs w:val="24"/>
          <w:lang w:eastAsia="en-US"/>
          <w14:ligatures w14:val="standardContextual"/>
        </w:rPr>
        <w:t>an nós imeachta simplithe maidir le húdaruithe athphlandaithe a dheonú</w:t>
      </w:r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a leagtar síos in Airteagal 9 den Rialachán sin.</w:t>
      </w:r>
    </w:p>
    <w:p w14:paraId="7F907B0F" w14:textId="1FBB8D9D" w:rsidR="00F21470" w:rsidRPr="003F03F5" w:rsidRDefault="00F21470" w:rsidP="00E2290E">
      <w:pPr>
        <w:widowControl/>
        <w:numPr>
          <w:ilvl w:val="0"/>
          <w:numId w:val="45"/>
        </w:numPr>
        <w:spacing w:after="160" w:line="360" w:lineRule="auto"/>
        <w:rPr>
          <w:rFonts w:eastAsia="Aptos"/>
          <w:iCs/>
          <w:kern w:val="2"/>
          <w:szCs w:val="24"/>
          <w:lang w:eastAsia="en-US"/>
          <w14:ligatures w14:val="standardContextual"/>
        </w:rPr>
      </w:pPr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dréachtleasú ar Rialachán Tarmligthe (AE) 2019/33 ón gCoimisiún, chun córas de chuid an Aontais a shainiú, córas lena ndéantar </w:t>
      </w:r>
      <w:r w:rsidRPr="003F03F5">
        <w:rPr>
          <w:rFonts w:eastAsia="Aptos"/>
          <w:b/>
          <w:iCs/>
          <w:kern w:val="2"/>
          <w:szCs w:val="24"/>
          <w:lang w:eastAsia="en-US"/>
          <w14:ligatures w14:val="standardContextual"/>
        </w:rPr>
        <w:t>na modhanna leictreonacha</w:t>
      </w:r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dá dtagraítear in Airteagal 119(4) agus (5) de Rialachán (AE) </w:t>
      </w:r>
      <w:r w:rsidR="007929E0"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Uimh. </w:t>
      </w:r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>1308/2013 a léiriú ar an bpacáiste nó ar lipéad táirgí fíniúna.</w:t>
      </w:r>
    </w:p>
    <w:p w14:paraId="64CDFA57" w14:textId="77777777" w:rsidR="00F21470" w:rsidRPr="003F03F5" w:rsidRDefault="00F21470" w:rsidP="00E2290E">
      <w:pPr>
        <w:widowControl/>
        <w:numPr>
          <w:ilvl w:val="0"/>
          <w:numId w:val="45"/>
        </w:numPr>
        <w:spacing w:after="160" w:line="360" w:lineRule="auto"/>
        <w:rPr>
          <w:rFonts w:eastAsia="Aptos"/>
          <w:iCs/>
          <w:kern w:val="2"/>
          <w:szCs w:val="24"/>
          <w:lang w:eastAsia="en-US"/>
          <w14:ligatures w14:val="standardContextual"/>
        </w:rPr>
      </w:pPr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dréachtleasú ar Rialachán Tarmligthe (AE) 2019/934 ón gCoimisiún chun an fhéidearthacht </w:t>
      </w:r>
      <w:proofErr w:type="spellStart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>fíonta</w:t>
      </w:r>
      <w:proofErr w:type="spellEnd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dí-</w:t>
      </w:r>
      <w:proofErr w:type="spellStart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>alcólaithe</w:t>
      </w:r>
      <w:proofErr w:type="spellEnd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nó páirt-</w:t>
      </w:r>
      <w:proofErr w:type="spellStart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>dhí</w:t>
      </w:r>
      <w:proofErr w:type="spellEnd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>-</w:t>
      </w:r>
      <w:proofErr w:type="spellStart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>alcólaithe</w:t>
      </w:r>
      <w:proofErr w:type="spellEnd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a chumasc le </w:t>
      </w:r>
      <w:proofErr w:type="spellStart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>fíonta</w:t>
      </w:r>
      <w:proofErr w:type="spellEnd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socra chun </w:t>
      </w:r>
      <w:proofErr w:type="spellStart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>fíonta</w:t>
      </w:r>
      <w:proofErr w:type="spellEnd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páirt-</w:t>
      </w:r>
      <w:proofErr w:type="spellStart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>dhí</w:t>
      </w:r>
      <w:proofErr w:type="spellEnd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>-</w:t>
      </w:r>
      <w:proofErr w:type="spellStart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>alcólaithe</w:t>
      </w:r>
      <w:proofErr w:type="spellEnd"/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a tháirgeadh a chuimsiú sa </w:t>
      </w:r>
      <w:r w:rsidRPr="003F03F5">
        <w:rPr>
          <w:rFonts w:eastAsia="Aptos"/>
          <w:b/>
          <w:iCs/>
          <w:kern w:val="2"/>
          <w:szCs w:val="24"/>
          <w:lang w:eastAsia="en-US"/>
          <w14:ligatures w14:val="standardContextual"/>
        </w:rPr>
        <w:t>sainmhíniú ar ‘</w:t>
      </w:r>
      <w:proofErr w:type="spellStart"/>
      <w:r w:rsidRPr="003F03F5">
        <w:rPr>
          <w:rFonts w:eastAsia="Aptos"/>
          <w:b/>
          <w:iCs/>
          <w:kern w:val="2"/>
          <w:szCs w:val="24"/>
          <w:lang w:eastAsia="en-US"/>
          <w14:ligatures w14:val="standardContextual"/>
        </w:rPr>
        <w:t>coupage</w:t>
      </w:r>
      <w:proofErr w:type="spellEnd"/>
      <w:r w:rsidRPr="003F03F5">
        <w:rPr>
          <w:rFonts w:eastAsia="Aptos"/>
          <w:b/>
          <w:iCs/>
          <w:kern w:val="2"/>
          <w:szCs w:val="24"/>
          <w:lang w:eastAsia="en-US"/>
          <w14:ligatures w14:val="standardContextual"/>
        </w:rPr>
        <w:t>’</w:t>
      </w:r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(‘cumasc’).</w:t>
      </w:r>
    </w:p>
    <w:p w14:paraId="4D09BA3D" w14:textId="54A75995" w:rsidR="00F21470" w:rsidRPr="003F03F5" w:rsidRDefault="00F21470" w:rsidP="00E2290E">
      <w:pPr>
        <w:widowControl/>
        <w:numPr>
          <w:ilvl w:val="0"/>
          <w:numId w:val="45"/>
        </w:numPr>
        <w:spacing w:after="160" w:line="360" w:lineRule="auto"/>
        <w:rPr>
          <w:rFonts w:eastAsia="Aptos"/>
          <w:iCs/>
          <w:kern w:val="2"/>
          <w:szCs w:val="24"/>
          <w:lang w:eastAsia="en-US"/>
          <w14:ligatures w14:val="standardContextual"/>
        </w:rPr>
      </w:pPr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dréachtghníomh tarmligthe lena leagtar síos na coinníollacha maidir le </w:t>
      </w:r>
      <w:r w:rsidRPr="003F03F5">
        <w:rPr>
          <w:rFonts w:eastAsia="Aptos"/>
          <w:b/>
          <w:iCs/>
          <w:kern w:val="2"/>
          <w:szCs w:val="24"/>
          <w:lang w:eastAsia="en-US"/>
          <w14:ligatures w14:val="standardContextual"/>
        </w:rPr>
        <w:t>fíonghoirt thréigthe a ghrafadh</w:t>
      </w:r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dá dtagraítear in Airteagal 62(6) nua de Rialachán (AE) </w:t>
      </w:r>
      <w:r w:rsidR="007929E0"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Uimh. </w:t>
      </w:r>
      <w:r w:rsidRPr="003F03F5">
        <w:rPr>
          <w:rFonts w:eastAsia="Aptos"/>
          <w:iCs/>
          <w:kern w:val="2"/>
          <w:szCs w:val="24"/>
          <w:lang w:eastAsia="en-US"/>
          <w14:ligatures w14:val="standardContextual"/>
        </w:rPr>
        <w:t>1308/2013.</w:t>
      </w:r>
      <w:r w:rsidRPr="003F03F5">
        <w:rPr>
          <w:iCs/>
          <w:szCs w:val="24"/>
        </w:rPr>
        <w:t>’</w:t>
      </w:r>
    </w:p>
    <w:p w14:paraId="093A9FD0" w14:textId="77777777" w:rsidR="00F21470" w:rsidRPr="00F21470" w:rsidRDefault="00F21470" w:rsidP="00E2290E">
      <w:pPr>
        <w:widowControl/>
        <w:spacing w:after="160" w:line="360" w:lineRule="auto"/>
        <w:ind w:left="360"/>
        <w:rPr>
          <w:rFonts w:eastAsia="Aptos"/>
          <w:iCs/>
          <w:kern w:val="2"/>
          <w:sz w:val="22"/>
          <w:szCs w:val="22"/>
          <w:lang w:eastAsia="en-US"/>
          <w14:ligatures w14:val="standardContextual"/>
        </w:rPr>
      </w:pPr>
    </w:p>
    <w:p w14:paraId="14E177B1" w14:textId="55557040" w:rsidR="00E365E1" w:rsidRPr="007F7B16" w:rsidRDefault="00E365E1" w:rsidP="00F21470"/>
    <w:sectPr w:rsidR="00E365E1" w:rsidRPr="007F7B16" w:rsidSect="007F7B1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86CB4" w14:textId="77777777" w:rsidR="00662E06" w:rsidRPr="007F7B16" w:rsidRDefault="00662E06">
      <w:r w:rsidRPr="007F7B16">
        <w:separator/>
      </w:r>
    </w:p>
  </w:endnote>
  <w:endnote w:type="continuationSeparator" w:id="0">
    <w:p w14:paraId="359B1B42" w14:textId="77777777" w:rsidR="00662E06" w:rsidRPr="007F7B16" w:rsidRDefault="00662E06">
      <w:r w:rsidRPr="007F7B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29F1B" w14:textId="77777777" w:rsidR="00662E06" w:rsidRPr="007F7B16" w:rsidRDefault="00662E06">
      <w:r w:rsidRPr="007F7B16">
        <w:separator/>
      </w:r>
    </w:p>
  </w:footnote>
  <w:footnote w:type="continuationSeparator" w:id="0">
    <w:p w14:paraId="3B3EBA2F" w14:textId="77777777" w:rsidR="00662E06" w:rsidRPr="007F7B16" w:rsidRDefault="00662E06">
      <w:r w:rsidRPr="007F7B16">
        <w:continuationSeparator/>
      </w:r>
    </w:p>
  </w:footnote>
  <w:footnote w:id="1">
    <w:p w14:paraId="1F57A1DA" w14:textId="4FFE6901" w:rsidR="00ED733F" w:rsidRPr="005F377F" w:rsidRDefault="00ED733F" w:rsidP="007F7B16">
      <w:pPr>
        <w:pStyle w:val="FootnoteText"/>
        <w:ind w:left="567" w:hanging="567"/>
        <w:rPr>
          <w:sz w:val="24"/>
          <w:szCs w:val="24"/>
          <w:lang w:val="ga-IE"/>
        </w:rPr>
      </w:pPr>
      <w:r w:rsidRPr="005F377F">
        <w:rPr>
          <w:rStyle w:val="FootnoteReference"/>
          <w:sz w:val="24"/>
          <w:szCs w:val="24"/>
          <w:lang w:val="ga-IE"/>
        </w:rPr>
        <w:footnoteRef/>
      </w:r>
      <w:r w:rsidR="007F7B16" w:rsidRPr="005F377F">
        <w:rPr>
          <w:sz w:val="24"/>
          <w:szCs w:val="24"/>
          <w:lang w:val="ga-IE"/>
        </w:rPr>
        <w:t xml:space="preserve"> </w:t>
      </w:r>
      <w:r w:rsidR="007F7B16" w:rsidRPr="005F377F">
        <w:rPr>
          <w:sz w:val="24"/>
          <w:szCs w:val="24"/>
          <w:lang w:val="ga-IE"/>
        </w:rPr>
        <w:tab/>
      </w:r>
      <w:r w:rsidRPr="005F377F">
        <w:rPr>
          <w:sz w:val="24"/>
          <w:szCs w:val="24"/>
          <w:lang w:val="ga-IE"/>
        </w:rPr>
        <w:t>IO C, C/202</w:t>
      </w:r>
      <w:r w:rsidR="009054DC" w:rsidRPr="005F377F">
        <w:rPr>
          <w:sz w:val="24"/>
          <w:szCs w:val="24"/>
          <w:lang w:val="ga-IE"/>
        </w:rPr>
        <w:t>5</w:t>
      </w:r>
      <w:r w:rsidRPr="005F377F">
        <w:rPr>
          <w:sz w:val="24"/>
          <w:szCs w:val="24"/>
          <w:lang w:val="ga-IE"/>
        </w:rPr>
        <w:t>/</w:t>
      </w:r>
      <w:r w:rsidR="009054DC" w:rsidRPr="005F377F">
        <w:rPr>
          <w:sz w:val="24"/>
          <w:szCs w:val="24"/>
          <w:lang w:val="ga-IE"/>
        </w:rPr>
        <w:t>5161</w:t>
      </w:r>
      <w:r w:rsidRPr="005F377F">
        <w:rPr>
          <w:sz w:val="24"/>
          <w:szCs w:val="24"/>
          <w:lang w:val="ga-IE"/>
        </w:rPr>
        <w:t xml:space="preserve">, </w:t>
      </w:r>
      <w:r w:rsidR="009054DC" w:rsidRPr="005F377F">
        <w:rPr>
          <w:sz w:val="24"/>
          <w:szCs w:val="24"/>
          <w:lang w:val="ga-IE"/>
        </w:rPr>
        <w:t>28.10.2025</w:t>
      </w:r>
      <w:r w:rsidRPr="005F377F">
        <w:rPr>
          <w:sz w:val="24"/>
          <w:szCs w:val="24"/>
          <w:lang w:val="ga-IE"/>
        </w:rPr>
        <w:t xml:space="preserve">, ELI: </w:t>
      </w:r>
      <w:hyperlink r:id="rId1" w:history="1">
        <w:r w:rsidRPr="005F377F">
          <w:rPr>
            <w:rStyle w:val="Hyperlink"/>
            <w:sz w:val="24"/>
            <w:szCs w:val="24"/>
            <w:lang w:val="ga-IE"/>
          </w:rPr>
          <w:t>http://data.europa.eu/eli/C/202</w:t>
        </w:r>
        <w:r w:rsidR="009054DC" w:rsidRPr="005F377F">
          <w:rPr>
            <w:rStyle w:val="Hyperlink"/>
            <w:sz w:val="24"/>
            <w:szCs w:val="24"/>
            <w:lang w:val="ga-IE"/>
          </w:rPr>
          <w:t>5</w:t>
        </w:r>
        <w:r w:rsidRPr="005F377F">
          <w:rPr>
            <w:rStyle w:val="Hyperlink"/>
            <w:sz w:val="24"/>
            <w:szCs w:val="24"/>
            <w:lang w:val="ga-IE"/>
          </w:rPr>
          <w:t>/</w:t>
        </w:r>
        <w:r w:rsidR="009054DC" w:rsidRPr="005F377F">
          <w:rPr>
            <w:rStyle w:val="Hyperlink"/>
            <w:sz w:val="24"/>
            <w:szCs w:val="24"/>
            <w:lang w:val="ga-IE"/>
          </w:rPr>
          <w:t>5161</w:t>
        </w:r>
        <w:r w:rsidRPr="005F377F">
          <w:rPr>
            <w:rStyle w:val="Hyperlink"/>
            <w:sz w:val="24"/>
            <w:szCs w:val="24"/>
            <w:lang w:val="ga-IE"/>
          </w:rPr>
          <w:t>/oj</w:t>
        </w:r>
      </w:hyperlink>
      <w:r w:rsidRPr="005F377F">
        <w:rPr>
          <w:sz w:val="24"/>
          <w:szCs w:val="24"/>
          <w:lang w:val="ga-IE"/>
        </w:rPr>
        <w:t>.</w:t>
      </w:r>
    </w:p>
  </w:footnote>
  <w:footnote w:id="2">
    <w:p w14:paraId="7FE8E436" w14:textId="26B99B61" w:rsidR="00ED733F" w:rsidRPr="005F377F" w:rsidRDefault="00ED733F" w:rsidP="007F7B16">
      <w:pPr>
        <w:pStyle w:val="FootnoteText"/>
        <w:ind w:left="567" w:hanging="567"/>
        <w:rPr>
          <w:sz w:val="24"/>
          <w:szCs w:val="24"/>
          <w:lang w:val="ga-IE"/>
        </w:rPr>
      </w:pPr>
      <w:r w:rsidRPr="005F377F">
        <w:rPr>
          <w:rStyle w:val="FootnoteReference"/>
          <w:sz w:val="24"/>
          <w:szCs w:val="24"/>
          <w:lang w:val="ga-IE"/>
        </w:rPr>
        <w:footnoteRef/>
      </w:r>
      <w:r w:rsidR="007F7B16" w:rsidRPr="005F377F">
        <w:rPr>
          <w:sz w:val="24"/>
          <w:szCs w:val="24"/>
          <w:lang w:val="ga-IE"/>
        </w:rPr>
        <w:t xml:space="preserve"> </w:t>
      </w:r>
      <w:r w:rsidR="007F7B16" w:rsidRPr="005F377F">
        <w:rPr>
          <w:sz w:val="24"/>
          <w:szCs w:val="24"/>
          <w:lang w:val="ga-IE"/>
        </w:rPr>
        <w:tab/>
      </w:r>
      <w:r w:rsidRPr="005F377F">
        <w:rPr>
          <w:sz w:val="24"/>
          <w:szCs w:val="24"/>
          <w:lang w:val="ga-IE"/>
        </w:rPr>
        <w:t>IO C, C/202</w:t>
      </w:r>
      <w:r w:rsidR="009054DC" w:rsidRPr="005F377F">
        <w:rPr>
          <w:sz w:val="24"/>
          <w:szCs w:val="24"/>
          <w:lang w:val="ga-IE"/>
        </w:rPr>
        <w:t>5</w:t>
      </w:r>
      <w:r w:rsidRPr="005F377F">
        <w:rPr>
          <w:sz w:val="24"/>
          <w:szCs w:val="24"/>
          <w:lang w:val="ga-IE"/>
        </w:rPr>
        <w:t>/</w:t>
      </w:r>
      <w:r w:rsidR="009054DC" w:rsidRPr="005F377F">
        <w:rPr>
          <w:sz w:val="24"/>
          <w:szCs w:val="24"/>
          <w:lang w:val="ga-IE"/>
        </w:rPr>
        <w:t>4418</w:t>
      </w:r>
      <w:r w:rsidRPr="005F377F">
        <w:rPr>
          <w:sz w:val="24"/>
          <w:szCs w:val="24"/>
          <w:lang w:val="ga-IE"/>
        </w:rPr>
        <w:t xml:space="preserve">, </w:t>
      </w:r>
      <w:r w:rsidR="009054DC" w:rsidRPr="005F377F">
        <w:rPr>
          <w:sz w:val="24"/>
          <w:szCs w:val="24"/>
          <w:lang w:val="ga-IE"/>
        </w:rPr>
        <w:t>29.8.2025</w:t>
      </w:r>
      <w:r w:rsidRPr="005F377F">
        <w:rPr>
          <w:sz w:val="24"/>
          <w:szCs w:val="24"/>
          <w:lang w:val="ga-IE"/>
        </w:rPr>
        <w:t xml:space="preserve">, ELI: </w:t>
      </w:r>
      <w:r>
        <w:fldChar w:fldCharType="begin"/>
      </w:r>
      <w:r w:rsidRPr="00E277A1">
        <w:rPr>
          <w:lang w:val="it-IT"/>
        </w:rPr>
        <w:instrText>HYPERLINK "http://data.europa.eu/eli/C/2025/4418/oj"</w:instrText>
      </w:r>
      <w:r>
        <w:fldChar w:fldCharType="separate"/>
      </w:r>
      <w:r w:rsidRPr="005F377F">
        <w:rPr>
          <w:rStyle w:val="Hyperlink"/>
          <w:sz w:val="24"/>
          <w:szCs w:val="24"/>
          <w:lang w:val="ga-IE"/>
        </w:rPr>
        <w:t>http://data.europa.eu/eli/C/202</w:t>
      </w:r>
      <w:r w:rsidR="009054DC" w:rsidRPr="005F377F">
        <w:rPr>
          <w:rStyle w:val="Hyperlink"/>
          <w:sz w:val="24"/>
          <w:szCs w:val="24"/>
          <w:lang w:val="ga-IE"/>
        </w:rPr>
        <w:t>5</w:t>
      </w:r>
      <w:r w:rsidRPr="005F377F">
        <w:rPr>
          <w:rStyle w:val="Hyperlink"/>
          <w:sz w:val="24"/>
          <w:szCs w:val="24"/>
          <w:lang w:val="ga-IE"/>
        </w:rPr>
        <w:t>/</w:t>
      </w:r>
      <w:r w:rsidR="009054DC" w:rsidRPr="005F377F">
        <w:rPr>
          <w:rStyle w:val="Hyperlink"/>
          <w:sz w:val="24"/>
          <w:szCs w:val="24"/>
          <w:lang w:val="ga-IE"/>
        </w:rPr>
        <w:t>4418</w:t>
      </w:r>
      <w:r w:rsidRPr="005F377F">
        <w:rPr>
          <w:rStyle w:val="Hyperlink"/>
          <w:sz w:val="24"/>
          <w:szCs w:val="24"/>
          <w:lang w:val="ga-IE"/>
        </w:rPr>
        <w:t>/oj</w:t>
      </w:r>
      <w:r>
        <w:fldChar w:fldCharType="end"/>
      </w:r>
      <w:r w:rsidRPr="005F377F">
        <w:rPr>
          <w:sz w:val="24"/>
          <w:szCs w:val="24"/>
          <w:lang w:val="ga-IE"/>
        </w:rPr>
        <w:t>.</w:t>
      </w:r>
    </w:p>
  </w:footnote>
  <w:footnote w:id="3">
    <w:p w14:paraId="76EACC6B" w14:textId="09A45958" w:rsidR="003F03F5" w:rsidRPr="003F03F5" w:rsidRDefault="003F03F5" w:rsidP="003F03F5">
      <w:pPr>
        <w:pStyle w:val="FootnoteText"/>
        <w:rPr>
          <w:sz w:val="24"/>
          <w:szCs w:val="24"/>
          <w:lang w:val="mt-MT"/>
        </w:rPr>
      </w:pPr>
      <w:r w:rsidRPr="003F03F5">
        <w:rPr>
          <w:rStyle w:val="FootnoteReference"/>
          <w:sz w:val="24"/>
          <w:szCs w:val="24"/>
        </w:rPr>
        <w:footnoteRef/>
      </w:r>
      <w:r w:rsidRPr="003F03F5">
        <w:rPr>
          <w:sz w:val="24"/>
          <w:szCs w:val="24"/>
          <w:lang w:val="it-IT"/>
        </w:rPr>
        <w:t xml:space="preserve"> </w:t>
      </w:r>
      <w:r w:rsidRPr="003F03F5">
        <w:rPr>
          <w:sz w:val="24"/>
          <w:szCs w:val="24"/>
          <w:lang w:val="mt-MT"/>
        </w:rPr>
        <w:tab/>
      </w:r>
      <w:r>
        <w:rPr>
          <w:sz w:val="24"/>
          <w:szCs w:val="24"/>
          <w:lang w:val="mt-MT"/>
        </w:rPr>
        <w:t>IO</w:t>
      </w:r>
      <w:r w:rsidRPr="003F03F5">
        <w:rPr>
          <w:sz w:val="24"/>
          <w:szCs w:val="24"/>
          <w:lang w:val="mt-MT"/>
        </w:rPr>
        <w:t xml:space="preserve"> L, 2026/471, 26.2.2026, ELI: </w:t>
      </w:r>
      <w:r>
        <w:fldChar w:fldCharType="begin"/>
      </w:r>
      <w:r w:rsidRPr="00E277A1">
        <w:rPr>
          <w:lang w:val="it-IT"/>
        </w:rPr>
        <w:instrText>HYPERLINK "http://data.europa.eu/eli/reg/2026/471/oj"</w:instrText>
      </w:r>
      <w:r>
        <w:fldChar w:fldCharType="separate"/>
      </w:r>
      <w:r w:rsidRPr="003F03F5">
        <w:rPr>
          <w:rStyle w:val="Hyperlink"/>
          <w:sz w:val="24"/>
          <w:szCs w:val="24"/>
          <w:lang w:val="mt-MT"/>
        </w:rPr>
        <w:t>http://data.europa.eu/eli/reg/2026/471/oj</w:t>
      </w:r>
      <w:r>
        <w:fldChar w:fldCharType="end"/>
      </w:r>
      <w:r w:rsidRPr="003F03F5">
        <w:rPr>
          <w:sz w:val="24"/>
          <w:szCs w:val="24"/>
          <w:lang w:val="mt-M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47D7F45"/>
    <w:multiLevelType w:val="hybridMultilevel"/>
    <w:tmpl w:val="A8660194"/>
    <w:lvl w:ilvl="0" w:tplc="18090011">
      <w:start w:val="1"/>
      <w:numFmt w:val="decimal"/>
      <w:lvlText w:val="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7195785">
    <w:abstractNumId w:val="9"/>
  </w:num>
  <w:num w:numId="2" w16cid:durableId="1088773403">
    <w:abstractNumId w:val="9"/>
  </w:num>
  <w:num w:numId="3" w16cid:durableId="1206914302">
    <w:abstractNumId w:val="7"/>
  </w:num>
  <w:num w:numId="4" w16cid:durableId="623122409">
    <w:abstractNumId w:val="7"/>
  </w:num>
  <w:num w:numId="5" w16cid:durableId="980421193">
    <w:abstractNumId w:val="6"/>
  </w:num>
  <w:num w:numId="6" w16cid:durableId="2097044691">
    <w:abstractNumId w:val="6"/>
  </w:num>
  <w:num w:numId="7" w16cid:durableId="1897886815">
    <w:abstractNumId w:val="5"/>
  </w:num>
  <w:num w:numId="8" w16cid:durableId="1548686048">
    <w:abstractNumId w:val="5"/>
  </w:num>
  <w:num w:numId="9" w16cid:durableId="424375946">
    <w:abstractNumId w:val="4"/>
  </w:num>
  <w:num w:numId="10" w16cid:durableId="133913883">
    <w:abstractNumId w:val="4"/>
  </w:num>
  <w:num w:numId="11" w16cid:durableId="1662612077">
    <w:abstractNumId w:val="8"/>
  </w:num>
  <w:num w:numId="12" w16cid:durableId="1057902068">
    <w:abstractNumId w:val="8"/>
  </w:num>
  <w:num w:numId="13" w16cid:durableId="1876962880">
    <w:abstractNumId w:val="3"/>
  </w:num>
  <w:num w:numId="14" w16cid:durableId="668604882">
    <w:abstractNumId w:val="3"/>
  </w:num>
  <w:num w:numId="15" w16cid:durableId="1364592053">
    <w:abstractNumId w:val="2"/>
  </w:num>
  <w:num w:numId="16" w16cid:durableId="877812819">
    <w:abstractNumId w:val="2"/>
  </w:num>
  <w:num w:numId="17" w16cid:durableId="1260528876">
    <w:abstractNumId w:val="1"/>
  </w:num>
  <w:num w:numId="18" w16cid:durableId="1858427605">
    <w:abstractNumId w:val="1"/>
  </w:num>
  <w:num w:numId="19" w16cid:durableId="52508109">
    <w:abstractNumId w:val="0"/>
  </w:num>
  <w:num w:numId="20" w16cid:durableId="1199470642">
    <w:abstractNumId w:val="0"/>
  </w:num>
  <w:num w:numId="21" w16cid:durableId="1643541477">
    <w:abstractNumId w:val="9"/>
  </w:num>
  <w:num w:numId="22" w16cid:durableId="1838418944">
    <w:abstractNumId w:val="7"/>
  </w:num>
  <w:num w:numId="23" w16cid:durableId="1001156568">
    <w:abstractNumId w:val="6"/>
  </w:num>
  <w:num w:numId="24" w16cid:durableId="1333139079">
    <w:abstractNumId w:val="5"/>
  </w:num>
  <w:num w:numId="25" w16cid:durableId="489058585">
    <w:abstractNumId w:val="4"/>
  </w:num>
  <w:num w:numId="26" w16cid:durableId="1032926023">
    <w:abstractNumId w:val="8"/>
  </w:num>
  <w:num w:numId="27" w16cid:durableId="746927334">
    <w:abstractNumId w:val="3"/>
  </w:num>
  <w:num w:numId="28" w16cid:durableId="1652908844">
    <w:abstractNumId w:val="2"/>
  </w:num>
  <w:num w:numId="29" w16cid:durableId="347026869">
    <w:abstractNumId w:val="1"/>
  </w:num>
  <w:num w:numId="30" w16cid:durableId="1976636937">
    <w:abstractNumId w:val="0"/>
  </w:num>
  <w:num w:numId="31" w16cid:durableId="396172622">
    <w:abstractNumId w:val="9"/>
  </w:num>
  <w:num w:numId="32" w16cid:durableId="555704944">
    <w:abstractNumId w:val="7"/>
  </w:num>
  <w:num w:numId="33" w16cid:durableId="79105569">
    <w:abstractNumId w:val="6"/>
  </w:num>
  <w:num w:numId="34" w16cid:durableId="275524534">
    <w:abstractNumId w:val="5"/>
  </w:num>
  <w:num w:numId="35" w16cid:durableId="721294098">
    <w:abstractNumId w:val="4"/>
  </w:num>
  <w:num w:numId="36" w16cid:durableId="681130515">
    <w:abstractNumId w:val="8"/>
  </w:num>
  <w:num w:numId="37" w16cid:durableId="138767694">
    <w:abstractNumId w:val="3"/>
  </w:num>
  <w:num w:numId="38" w16cid:durableId="747727061">
    <w:abstractNumId w:val="2"/>
  </w:num>
  <w:num w:numId="39" w16cid:durableId="578364402">
    <w:abstractNumId w:val="1"/>
  </w:num>
  <w:num w:numId="40" w16cid:durableId="2056199330">
    <w:abstractNumId w:val="0"/>
  </w:num>
  <w:num w:numId="41" w16cid:durableId="2090804871">
    <w:abstractNumId w:val="10"/>
  </w:num>
  <w:num w:numId="42" w16cid:durableId="1502741412">
    <w:abstractNumId w:val="10"/>
  </w:num>
  <w:num w:numId="43" w16cid:durableId="1500269981">
    <w:abstractNumId w:val="10"/>
  </w:num>
  <w:num w:numId="44" w16cid:durableId="603347290">
    <w:abstractNumId w:val="11"/>
  </w:num>
  <w:num w:numId="45" w16cid:durableId="8863387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GA"/>
    <w:docVar w:name="dvnumam" w:val="91"/>
    <w:docVar w:name="dvpe" w:val="774.316"/>
    <w:docVar w:name="dvrapporteur" w:val=" Rapóirtéir:"/>
    <w:docVar w:name="dvstar" w:val="***I"/>
    <w:docVar w:name="dvtitre" w:val="Rún reachtach ó Pharlaimint na hEorpa an xx Xxxx 2026 ar an togra le haghaidh rialachán ó Pharlaimint na hEorpa agus ón gComhairle lena leasaítear Rialacháin (AE) Uimh. 1308/2013, Rialachán (AE) 2021/2115 agus Rialachán (AE) Uimh. 251/2014 a mhéid a bhaineann le rialacha margaidh áirithe agus bearta tacaíochta earnála áirithe in earnáil an fhíona agus le haghaidh táirgí fíona cumhraithe(COM(2025)0137 – C10-0058/2025 – 2025/0071(COD))"/>
  </w:docVars>
  <w:rsids>
    <w:rsidRoot w:val="00662E06"/>
    <w:rsid w:val="00002272"/>
    <w:rsid w:val="00064002"/>
    <w:rsid w:val="000677B9"/>
    <w:rsid w:val="000831BA"/>
    <w:rsid w:val="000A42CC"/>
    <w:rsid w:val="000E7DD9"/>
    <w:rsid w:val="0010095E"/>
    <w:rsid w:val="00101C59"/>
    <w:rsid w:val="00125B37"/>
    <w:rsid w:val="00187494"/>
    <w:rsid w:val="001D2E81"/>
    <w:rsid w:val="001F32AE"/>
    <w:rsid w:val="00266E30"/>
    <w:rsid w:val="002767FF"/>
    <w:rsid w:val="002B18FE"/>
    <w:rsid w:val="002B5493"/>
    <w:rsid w:val="00343214"/>
    <w:rsid w:val="00361C00"/>
    <w:rsid w:val="00395FA1"/>
    <w:rsid w:val="003C3918"/>
    <w:rsid w:val="003E15D4"/>
    <w:rsid w:val="003F03F5"/>
    <w:rsid w:val="00411CCE"/>
    <w:rsid w:val="0041666E"/>
    <w:rsid w:val="00421060"/>
    <w:rsid w:val="00424F76"/>
    <w:rsid w:val="00471C19"/>
    <w:rsid w:val="0048203E"/>
    <w:rsid w:val="004867E3"/>
    <w:rsid w:val="00494A28"/>
    <w:rsid w:val="004C0004"/>
    <w:rsid w:val="004C5D52"/>
    <w:rsid w:val="0050519A"/>
    <w:rsid w:val="005072A1"/>
    <w:rsid w:val="00513117"/>
    <w:rsid w:val="00514517"/>
    <w:rsid w:val="00545827"/>
    <w:rsid w:val="00560270"/>
    <w:rsid w:val="00576306"/>
    <w:rsid w:val="0057651F"/>
    <w:rsid w:val="005C2568"/>
    <w:rsid w:val="005F1B17"/>
    <w:rsid w:val="005F377F"/>
    <w:rsid w:val="006037C0"/>
    <w:rsid w:val="00662E06"/>
    <w:rsid w:val="006631B6"/>
    <w:rsid w:val="00680577"/>
    <w:rsid w:val="006B5003"/>
    <w:rsid w:val="006F74FA"/>
    <w:rsid w:val="00731ADD"/>
    <w:rsid w:val="00734777"/>
    <w:rsid w:val="00747932"/>
    <w:rsid w:val="00751A4A"/>
    <w:rsid w:val="00756632"/>
    <w:rsid w:val="00762C74"/>
    <w:rsid w:val="00786EC0"/>
    <w:rsid w:val="007929E0"/>
    <w:rsid w:val="007D1690"/>
    <w:rsid w:val="007E22AD"/>
    <w:rsid w:val="007F7B16"/>
    <w:rsid w:val="00817416"/>
    <w:rsid w:val="00842779"/>
    <w:rsid w:val="00865F67"/>
    <w:rsid w:val="008735A6"/>
    <w:rsid w:val="00881A7B"/>
    <w:rsid w:val="008840E5"/>
    <w:rsid w:val="00887B3E"/>
    <w:rsid w:val="008B5C73"/>
    <w:rsid w:val="008C2AC6"/>
    <w:rsid w:val="008F4079"/>
    <w:rsid w:val="009054DC"/>
    <w:rsid w:val="00930C23"/>
    <w:rsid w:val="0093193B"/>
    <w:rsid w:val="009509D8"/>
    <w:rsid w:val="00950B64"/>
    <w:rsid w:val="00981893"/>
    <w:rsid w:val="0099122C"/>
    <w:rsid w:val="009C689F"/>
    <w:rsid w:val="009D5BC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A3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6DBF"/>
    <w:rsid w:val="00CE3F79"/>
    <w:rsid w:val="00CF071A"/>
    <w:rsid w:val="00D058B8"/>
    <w:rsid w:val="00D56C11"/>
    <w:rsid w:val="00D819C1"/>
    <w:rsid w:val="00D834A0"/>
    <w:rsid w:val="00D872DF"/>
    <w:rsid w:val="00D91E21"/>
    <w:rsid w:val="00DA7FCD"/>
    <w:rsid w:val="00E2290E"/>
    <w:rsid w:val="00E277A1"/>
    <w:rsid w:val="00E35D07"/>
    <w:rsid w:val="00E365E1"/>
    <w:rsid w:val="00E820A4"/>
    <w:rsid w:val="00EB006A"/>
    <w:rsid w:val="00EB4772"/>
    <w:rsid w:val="00EC5FF1"/>
    <w:rsid w:val="00ED169E"/>
    <w:rsid w:val="00ED4235"/>
    <w:rsid w:val="00ED733F"/>
    <w:rsid w:val="00EF43FF"/>
    <w:rsid w:val="00F04346"/>
    <w:rsid w:val="00F075DC"/>
    <w:rsid w:val="00F149E9"/>
    <w:rsid w:val="00F21470"/>
    <w:rsid w:val="00F5134D"/>
    <w:rsid w:val="00F74202"/>
    <w:rsid w:val="00F87713"/>
    <w:rsid w:val="00F929ED"/>
    <w:rsid w:val="00FB4360"/>
    <w:rsid w:val="00FC041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2347BF"/>
  <w15:chartTrackingRefBased/>
  <w15:docId w15:val="{B65772C5-DB6D-498A-A451-6C9306CDD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D733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D733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D733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D733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D733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D733F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ED733F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ED733F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ED733F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nhideWhenUsed/>
    <w:qFormat/>
    <w:rsid w:val="00ED733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D733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D733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D733F"/>
    <w:pPr>
      <w:spacing w:after="120"/>
    </w:pPr>
  </w:style>
  <w:style w:type="paragraph" w:customStyle="1" w:styleId="PageHeading">
    <w:name w:val="PageHeading"/>
    <w:basedOn w:val="Normal"/>
    <w:rsid w:val="00ED733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D733F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D733F"/>
    <w:rPr>
      <w:b/>
      <w:sz w:val="24"/>
      <w:lang w:val="ga-IE"/>
    </w:rPr>
  </w:style>
  <w:style w:type="paragraph" w:customStyle="1" w:styleId="NormalBold12a">
    <w:name w:val="NormalBold12a"/>
    <w:basedOn w:val="Normal"/>
    <w:rsid w:val="00ED733F"/>
    <w:pPr>
      <w:spacing w:after="240"/>
    </w:pPr>
    <w:rPr>
      <w:b/>
    </w:rPr>
  </w:style>
  <w:style w:type="paragraph" w:customStyle="1" w:styleId="AmJustText">
    <w:name w:val="AmJustText"/>
    <w:basedOn w:val="Normal"/>
    <w:rsid w:val="00ED733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D733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D733F"/>
    <w:pPr>
      <w:spacing w:after="480"/>
      <w:ind w:left="1417"/>
    </w:pPr>
  </w:style>
  <w:style w:type="paragraph" w:customStyle="1" w:styleId="CoverNormal">
    <w:name w:val="CoverNormal"/>
    <w:basedOn w:val="Normal"/>
    <w:rsid w:val="00ED733F"/>
    <w:pPr>
      <w:ind w:left="1418"/>
    </w:pPr>
  </w:style>
  <w:style w:type="paragraph" w:customStyle="1" w:styleId="AmCrossRef">
    <w:name w:val="AmCrossRef"/>
    <w:basedOn w:val="Normal"/>
    <w:rsid w:val="00ED733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D733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D733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D733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D733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D733F"/>
    <w:pPr>
      <w:spacing w:before="240" w:after="1200"/>
    </w:pPr>
  </w:style>
  <w:style w:type="paragraph" w:styleId="Header">
    <w:name w:val="header"/>
    <w:basedOn w:val="Normal"/>
    <w:link w:val="HeaderChar"/>
    <w:rsid w:val="00ED73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D733F"/>
    <w:rPr>
      <w:sz w:val="24"/>
      <w:lang w:val="ga-IE"/>
    </w:rPr>
  </w:style>
  <w:style w:type="paragraph" w:customStyle="1" w:styleId="AmOrLang">
    <w:name w:val="AmOrLang"/>
    <w:basedOn w:val="Normal"/>
    <w:rsid w:val="00ED733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D733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D733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D733F"/>
    <w:pPr>
      <w:spacing w:before="240"/>
    </w:pPr>
    <w:rPr>
      <w:b/>
    </w:rPr>
  </w:style>
  <w:style w:type="paragraph" w:customStyle="1" w:styleId="EPBody">
    <w:name w:val="EPBody"/>
    <w:basedOn w:val="Normal"/>
    <w:rsid w:val="00ED733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D733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D733F"/>
    <w:pPr>
      <w:spacing w:before="480" w:after="240"/>
    </w:pPr>
  </w:style>
  <w:style w:type="paragraph" w:customStyle="1" w:styleId="Lgendesigne">
    <w:name w:val="Légende signe"/>
    <w:basedOn w:val="Normal"/>
    <w:rsid w:val="00ED733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D733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D733F"/>
    <w:rPr>
      <w:sz w:val="18"/>
    </w:rPr>
  </w:style>
  <w:style w:type="character" w:customStyle="1" w:styleId="FooterChar">
    <w:name w:val="Footer Char"/>
    <w:basedOn w:val="DefaultParagraphFont"/>
    <w:link w:val="Footer"/>
    <w:rsid w:val="00ED733F"/>
    <w:rPr>
      <w:sz w:val="22"/>
    </w:rPr>
  </w:style>
  <w:style w:type="paragraph" w:styleId="Footer">
    <w:name w:val="footer"/>
    <w:link w:val="FooterChar"/>
    <w:unhideWhenUsed/>
    <w:rsid w:val="00ED733F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ED733F"/>
    <w:rPr>
      <w:sz w:val="24"/>
      <w:lang w:val="ga-IE"/>
    </w:rPr>
  </w:style>
  <w:style w:type="character" w:customStyle="1" w:styleId="Normal12Char">
    <w:name w:val="Normal12 Char"/>
    <w:basedOn w:val="DefaultParagraphFont"/>
    <w:link w:val="Normal12"/>
    <w:locked/>
    <w:rsid w:val="00ED733F"/>
    <w:rPr>
      <w:noProof/>
      <w:sz w:val="24"/>
    </w:rPr>
  </w:style>
  <w:style w:type="paragraph" w:customStyle="1" w:styleId="Normal12">
    <w:name w:val="Normal12"/>
    <w:basedOn w:val="Normal"/>
    <w:link w:val="Normal12Char"/>
    <w:rsid w:val="00ED733F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ED733F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ED733F"/>
    <w:pPr>
      <w:spacing w:after="120"/>
    </w:pPr>
  </w:style>
  <w:style w:type="paragraph" w:customStyle="1" w:styleId="Normal12Italic">
    <w:name w:val="Normal12Italic"/>
    <w:basedOn w:val="Normal12"/>
    <w:rsid w:val="00ED733F"/>
    <w:rPr>
      <w:i/>
    </w:rPr>
  </w:style>
  <w:style w:type="paragraph" w:customStyle="1" w:styleId="Footer2">
    <w:name w:val="Footer2"/>
    <w:basedOn w:val="Normal12"/>
    <w:rsid w:val="00ED733F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ED733F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ED733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ED733F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ED733F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ED733F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ED733F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ED733F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ED733F"/>
    <w:rPr>
      <w:color w:val="0563C1"/>
      <w:u w:val="single"/>
    </w:rPr>
  </w:style>
  <w:style w:type="paragraph" w:styleId="BalloonText">
    <w:name w:val="Balloon Text"/>
    <w:basedOn w:val="Normal"/>
    <w:link w:val="BalloonTextChar"/>
    <w:unhideWhenUsed/>
    <w:rsid w:val="00ED73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D733F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ED733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733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D733F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D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D733F"/>
    <w:rPr>
      <w:b/>
      <w:bCs/>
      <w:lang w:val="ga-IE"/>
    </w:rPr>
  </w:style>
  <w:style w:type="paragraph" w:customStyle="1" w:styleId="Point1">
    <w:name w:val="Point 1"/>
    <w:basedOn w:val="Normal"/>
    <w:rsid w:val="00ED733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ED733F"/>
    <w:rPr>
      <w:i/>
      <w:iCs/>
    </w:rPr>
  </w:style>
  <w:style w:type="paragraph" w:styleId="Revision">
    <w:name w:val="Revision"/>
    <w:hidden/>
    <w:uiPriority w:val="99"/>
    <w:semiHidden/>
    <w:rsid w:val="00ED733F"/>
    <w:rPr>
      <w:sz w:val="24"/>
      <w:lang w:val="ga-IE"/>
    </w:rPr>
  </w:style>
  <w:style w:type="paragraph" w:customStyle="1" w:styleId="Normal12a">
    <w:name w:val="Normal12a"/>
    <w:basedOn w:val="Normal"/>
    <w:rsid w:val="00ED733F"/>
    <w:pPr>
      <w:spacing w:after="240"/>
    </w:pPr>
  </w:style>
  <w:style w:type="paragraph" w:customStyle="1" w:styleId="RollCallVotes">
    <w:name w:val="RollCallVotes"/>
    <w:basedOn w:val="Normal"/>
    <w:rsid w:val="00ED733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D733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D733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D733F"/>
    <w:pPr>
      <w:spacing w:before="120" w:after="120"/>
    </w:pPr>
    <w:rPr>
      <w:snapToGrid w:val="0"/>
      <w:sz w:val="16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F21470"/>
    <w:rPr>
      <w:color w:val="0563C1"/>
      <w:u w:val="single"/>
    </w:rPr>
  </w:style>
  <w:style w:type="character" w:customStyle="1" w:styleId="Hyperlink2">
    <w:name w:val="Hyperlink2"/>
    <w:basedOn w:val="DefaultParagraphFont"/>
    <w:uiPriority w:val="99"/>
    <w:unhideWhenUsed/>
    <w:rsid w:val="00F2147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735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SOLTYSOVA Zuzana</cp:lastModifiedBy>
  <cp:revision>3</cp:revision>
  <cp:lastPrinted>2004-11-19T15:42:00Z</cp:lastPrinted>
  <dcterms:created xsi:type="dcterms:W3CDTF">2026-04-30T14:43:00Z</dcterms:created>
  <dcterms:modified xsi:type="dcterms:W3CDTF">2026-05-18T09:19:00Z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