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6A49" w14:paraId="1C5FF92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27298D" w14:textId="77777777" w:rsidR="00751A4A" w:rsidRPr="00026A49" w:rsidRDefault="007A03BA" w:rsidP="0010095E">
            <w:pPr>
              <w:pStyle w:val="EPName"/>
            </w:pPr>
            <w:r w:rsidRPr="00026A49">
              <w:t>Europski parlament</w:t>
            </w:r>
          </w:p>
          <w:p w14:paraId="3B71E1A3" w14:textId="77777777" w:rsidR="00751A4A" w:rsidRPr="00026A4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6A49">
              <w:t>2024</w:t>
            </w:r>
            <w:r w:rsidR="00817416" w:rsidRPr="00026A49">
              <w:t>-202</w:t>
            </w:r>
            <w:r w:rsidRPr="00026A49">
              <w:t>9</w:t>
            </w:r>
          </w:p>
        </w:tc>
        <w:tc>
          <w:tcPr>
            <w:tcW w:w="2268" w:type="dxa"/>
            <w:shd w:val="clear" w:color="auto" w:fill="auto"/>
          </w:tcPr>
          <w:p w14:paraId="1AE9F4C5" w14:textId="77777777" w:rsidR="00751A4A" w:rsidRPr="00026A49" w:rsidRDefault="00187494" w:rsidP="0010095E">
            <w:pPr>
              <w:pStyle w:val="EPLogo"/>
            </w:pPr>
            <w:r w:rsidRPr="00026A49">
              <w:rPr>
                <w:noProof/>
                <w:lang w:eastAsia="ja-JP"/>
              </w:rPr>
              <w:drawing>
                <wp:inline distT="0" distB="0" distL="0" distR="0" wp14:anchorId="1C72756F" wp14:editId="6E0FE5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E5B02C" w14:textId="77777777" w:rsidR="00D058B8" w:rsidRPr="00026A49" w:rsidRDefault="00D058B8" w:rsidP="004C5D52">
      <w:pPr>
        <w:pStyle w:val="LineTop"/>
      </w:pPr>
    </w:p>
    <w:p w14:paraId="0EA45683" w14:textId="77777777" w:rsidR="00680577" w:rsidRPr="00026A49" w:rsidRDefault="007A03BA" w:rsidP="00680577">
      <w:pPr>
        <w:pStyle w:val="EPBodyTA1"/>
      </w:pPr>
      <w:r w:rsidRPr="00026A49">
        <w:t>USVOJENI TEKSTOVI</w:t>
      </w:r>
    </w:p>
    <w:p w14:paraId="5197A0DA" w14:textId="77777777" w:rsidR="00D058B8" w:rsidRPr="00026A49" w:rsidRDefault="00D058B8" w:rsidP="00D058B8">
      <w:pPr>
        <w:pStyle w:val="LineBottom"/>
      </w:pPr>
    </w:p>
    <w:p w14:paraId="4102AD0D" w14:textId="359E4C0C" w:rsidR="007A03BA" w:rsidRPr="00026A49" w:rsidRDefault="007A03BA" w:rsidP="007A03BA">
      <w:pPr>
        <w:pStyle w:val="ATHeading1"/>
      </w:pPr>
      <w:bookmarkStart w:id="0" w:name="TANumber"/>
      <w:r w:rsidRPr="00026A49">
        <w:t>P10_TA(2026)00</w:t>
      </w:r>
      <w:r w:rsidR="0032133A">
        <w:t>28</w:t>
      </w:r>
      <w:bookmarkEnd w:id="0"/>
    </w:p>
    <w:p w14:paraId="1EB5AE1B" w14:textId="5660F516" w:rsidR="007A03BA" w:rsidRPr="00026A49" w:rsidRDefault="007A03BA" w:rsidP="007A03BA">
      <w:pPr>
        <w:pStyle w:val="ATHeading2"/>
      </w:pPr>
      <w:bookmarkStart w:id="1" w:name="title"/>
      <w:r w:rsidRPr="00026A49">
        <w:t>Izmjena uredaba o poljoprivrednim proizvodima u pogledu određenih tržišnih pravila i sektorskih mjera potpore u sektoru vina i za aromatizirane proizvode od vina</w:t>
      </w:r>
      <w:bookmarkEnd w:id="1"/>
    </w:p>
    <w:p w14:paraId="3AE5083E" w14:textId="77777777" w:rsidR="007A03BA" w:rsidRPr="00026A49" w:rsidRDefault="007A03BA" w:rsidP="007A03BA">
      <w:pPr>
        <w:rPr>
          <w:i/>
          <w:vanish/>
        </w:rPr>
      </w:pPr>
      <w:r w:rsidRPr="00026A49">
        <w:rPr>
          <w:i/>
        </w:rPr>
        <w:fldChar w:fldCharType="begin"/>
      </w:r>
      <w:r w:rsidRPr="00026A49">
        <w:rPr>
          <w:i/>
        </w:rPr>
        <w:instrText xml:space="preserve"> TC"(</w:instrText>
      </w:r>
      <w:bookmarkStart w:id="2" w:name="DocNumber"/>
      <w:r w:rsidRPr="00026A49">
        <w:rPr>
          <w:i/>
        </w:rPr>
        <w:instrText>A10-0220/2025</w:instrText>
      </w:r>
      <w:bookmarkEnd w:id="2"/>
      <w:r w:rsidRPr="00026A49">
        <w:rPr>
          <w:i/>
        </w:rPr>
        <w:instrText xml:space="preserve"> - Izvjestiteljica: Esther Herranz García)"\l3 \n&gt; \* MERGEFORMAT </w:instrText>
      </w:r>
      <w:r w:rsidRPr="00026A49">
        <w:rPr>
          <w:i/>
        </w:rPr>
        <w:fldChar w:fldCharType="end"/>
      </w:r>
    </w:p>
    <w:p w14:paraId="7F7A0278" w14:textId="77777777" w:rsidR="007A03BA" w:rsidRPr="00026A49" w:rsidRDefault="007A03BA" w:rsidP="007A03BA">
      <w:pPr>
        <w:rPr>
          <w:vanish/>
        </w:rPr>
      </w:pPr>
      <w:bookmarkStart w:id="3" w:name="Commission"/>
      <w:r w:rsidRPr="00026A49">
        <w:rPr>
          <w:vanish/>
        </w:rPr>
        <w:t>Odbor za poljoprivredu i ruralni razvoj</w:t>
      </w:r>
      <w:bookmarkEnd w:id="3"/>
    </w:p>
    <w:p w14:paraId="06BDAE88" w14:textId="77777777" w:rsidR="007A03BA" w:rsidRPr="00026A49" w:rsidRDefault="007A03BA" w:rsidP="007A03BA">
      <w:pPr>
        <w:rPr>
          <w:vanish/>
        </w:rPr>
      </w:pPr>
      <w:bookmarkStart w:id="4" w:name="PE"/>
      <w:r w:rsidRPr="00026A49">
        <w:rPr>
          <w:vanish/>
        </w:rPr>
        <w:t>PE774.316</w:t>
      </w:r>
      <w:bookmarkEnd w:id="4"/>
    </w:p>
    <w:p w14:paraId="35DD517A" w14:textId="7ED00E6E" w:rsidR="007A03BA" w:rsidRPr="00026A49" w:rsidRDefault="007A03BA" w:rsidP="007A03BA">
      <w:pPr>
        <w:pStyle w:val="ATHeading3"/>
      </w:pPr>
      <w:bookmarkStart w:id="5" w:name="Sujet"/>
      <w:r w:rsidRPr="00026A49">
        <w:t xml:space="preserve">Zakonodavna rezolucija Europskog parlamenta od </w:t>
      </w:r>
      <w:r w:rsidR="00026A49">
        <w:t>10</w:t>
      </w:r>
      <w:r w:rsidRPr="00026A49">
        <w:t xml:space="preserve">. </w:t>
      </w:r>
      <w:r w:rsidR="00026A49">
        <w:t xml:space="preserve">veljače </w:t>
      </w:r>
      <w:r w:rsidRPr="00026A49">
        <w:t>2026. o Prijedlogu uredbe Europskog parlamenta i Vijeća o izmjeni uredaba (EU) br. 1308/2013, (EU) 2021/2115 i (EU) br. 251/2014 u pogledu određenih tržišnih pravila i sektorskih mjera potpore u sektoru vina i za aromatizirane proizvode od vina</w:t>
      </w:r>
      <w:bookmarkEnd w:id="5"/>
      <w:r w:rsidRPr="00026A49">
        <w:t xml:space="preserve"> </w:t>
      </w:r>
      <w:bookmarkStart w:id="6" w:name="References"/>
      <w:r w:rsidRPr="00026A49">
        <w:t>(COM(2025)0137 – C10-0058/2025 – 2025/0071(COD))</w:t>
      </w:r>
      <w:bookmarkEnd w:id="6"/>
    </w:p>
    <w:p w14:paraId="44AD2F36" w14:textId="77777777" w:rsidR="0013009E" w:rsidRPr="00026A49" w:rsidRDefault="0013009E" w:rsidP="0013009E">
      <w:pPr>
        <w:pStyle w:val="NormalBold"/>
      </w:pPr>
      <w:r w:rsidRPr="00026A49">
        <w:t>(Redovni zakonodavni postupak: prvo čitanje)</w:t>
      </w:r>
    </w:p>
    <w:p w14:paraId="42F8FA7E" w14:textId="77777777" w:rsidR="0013009E" w:rsidRPr="00026A49" w:rsidRDefault="0013009E" w:rsidP="0013009E">
      <w:pPr>
        <w:pStyle w:val="EPComma"/>
      </w:pPr>
      <w:r w:rsidRPr="00026A49">
        <w:rPr>
          <w:i/>
        </w:rPr>
        <w:t>Europski parlament</w:t>
      </w:r>
      <w:r w:rsidRPr="00026A49">
        <w:t>,</w:t>
      </w:r>
    </w:p>
    <w:p w14:paraId="64AE7F60" w14:textId="77777777" w:rsidR="0013009E" w:rsidRPr="00026A49" w:rsidRDefault="0013009E" w:rsidP="0013009E">
      <w:pPr>
        <w:pStyle w:val="NormalHanging12a"/>
      </w:pPr>
      <w:r w:rsidRPr="00026A49">
        <w:t>–</w:t>
      </w:r>
      <w:r w:rsidRPr="00026A49">
        <w:tab/>
        <w:t>uzimajući u obzir Prijedlog Komisije upućen Europskom parlamentu i Vijeću (COM(2025)0137),</w:t>
      </w:r>
    </w:p>
    <w:p w14:paraId="15596A48" w14:textId="379B98D8" w:rsidR="0013009E" w:rsidRPr="00026A49" w:rsidRDefault="0013009E" w:rsidP="0013009E">
      <w:pPr>
        <w:pStyle w:val="NormalHanging12a"/>
      </w:pPr>
      <w:r w:rsidRPr="00026A49">
        <w:t>–</w:t>
      </w:r>
      <w:r w:rsidRPr="00026A49">
        <w:tab/>
        <w:t>uzimajući u obzir članak 294. stavak 2., članak 42. stavak 1. i članak 43. stavak 2. Ugovora o funkcioniranju Europske unije, u skladu s kojima je Komisija podnijela prijedlog Parlamentu (C10</w:t>
      </w:r>
      <w:r w:rsidRPr="00026A49">
        <w:noBreakHyphen/>
        <w:t>0058/2025),</w:t>
      </w:r>
    </w:p>
    <w:p w14:paraId="224F0EEB" w14:textId="48792D4A" w:rsidR="0013009E" w:rsidRPr="00026A49" w:rsidRDefault="0013009E" w:rsidP="000727B7">
      <w:pPr>
        <w:pStyle w:val="NormalHanging12a"/>
      </w:pPr>
      <w:r w:rsidRPr="00026A49">
        <w:t>–</w:t>
      </w:r>
      <w:r w:rsidRPr="00026A49">
        <w:tab/>
        <w:t>uzimajući u obzir članak 294. stavak 3. Ugovora o funkcioniranju Europske unije,</w:t>
      </w:r>
    </w:p>
    <w:p w14:paraId="4DFC2124" w14:textId="2CA7590E" w:rsidR="0013009E" w:rsidRPr="00026A49" w:rsidRDefault="0013009E" w:rsidP="0013009E">
      <w:pPr>
        <w:pStyle w:val="NormalHanging12a"/>
      </w:pPr>
      <w:r w:rsidRPr="00026A49">
        <w:t>–</w:t>
      </w:r>
      <w:r w:rsidRPr="00026A49">
        <w:tab/>
        <w:t>uzimajući u obzir mišljenje Europskog</w:t>
      </w:r>
      <w:r w:rsidR="00802DB1">
        <w:t>a</w:t>
      </w:r>
      <w:r w:rsidRPr="00026A49">
        <w:t xml:space="preserve"> gospodarskog i socijalnog odbora od 17. srpnja 2025.</w:t>
      </w:r>
      <w:r w:rsidRPr="00026A49">
        <w:rPr>
          <w:rStyle w:val="FootnoteReference"/>
        </w:rPr>
        <w:footnoteReference w:id="1"/>
      </w:r>
      <w:r w:rsidRPr="00026A49">
        <w:t>,</w:t>
      </w:r>
    </w:p>
    <w:p w14:paraId="5C903EC3" w14:textId="14B05F65" w:rsidR="0013009E" w:rsidRDefault="0013009E" w:rsidP="0013009E">
      <w:pPr>
        <w:pStyle w:val="NormalHanging12a"/>
      </w:pPr>
      <w:r w:rsidRPr="00026A49">
        <w:t>–</w:t>
      </w:r>
      <w:r w:rsidRPr="00026A49">
        <w:tab/>
        <w:t xml:space="preserve">uzimajući u obzir mišljenje Odbora regija od </w:t>
      </w:r>
      <w:r w:rsidR="00802DB1">
        <w:t>2</w:t>
      </w:r>
      <w:r w:rsidRPr="00026A49">
        <w:t>. srpnja 2025.</w:t>
      </w:r>
      <w:r w:rsidRPr="00026A49">
        <w:rPr>
          <w:rStyle w:val="FootnoteReference"/>
        </w:rPr>
        <w:footnoteReference w:id="2"/>
      </w:r>
      <w:r w:rsidRPr="00026A49">
        <w:t>,</w:t>
      </w:r>
    </w:p>
    <w:p w14:paraId="55A1E420" w14:textId="61C31779" w:rsidR="000727B7" w:rsidRPr="00026A49" w:rsidRDefault="000727B7" w:rsidP="0013009E">
      <w:pPr>
        <w:pStyle w:val="NormalHanging12a"/>
      </w:pPr>
      <w:r w:rsidRPr="00591C4A">
        <w:t>–</w:t>
      </w:r>
      <w:r w:rsidRPr="00591C4A">
        <w:tab/>
      </w:r>
      <w:r w:rsidRPr="00226049">
        <w:t>uzimajući u obzir privremeni sporazum koji je odobrio nadležni odbor u skladu s člankom 7</w:t>
      </w:r>
      <w:r>
        <w:t>5</w:t>
      </w:r>
      <w:r w:rsidRPr="00226049">
        <w:t>. stavkom 4. Poslovnika te činjenicu da se predstavnik Vijeća pismom od 1</w:t>
      </w:r>
      <w:r>
        <w:t>6</w:t>
      </w:r>
      <w:r w:rsidRPr="00226049">
        <w:t xml:space="preserve">. </w:t>
      </w:r>
      <w:r>
        <w:t>prosinca</w:t>
      </w:r>
      <w:r w:rsidRPr="00226049">
        <w:t xml:space="preserve"> 202</w:t>
      </w:r>
      <w:r>
        <w:t>5</w:t>
      </w:r>
      <w:r w:rsidRPr="00226049">
        <w:t>. obvezao prihvatiti stajalište Europskog parlamenta u skladu s člankom 294. stavkom 4. Ugovora o funkcioniranju Europske unije,</w:t>
      </w:r>
    </w:p>
    <w:p w14:paraId="24C4B321" w14:textId="77777777" w:rsidR="0013009E" w:rsidRPr="00026A49" w:rsidRDefault="0013009E" w:rsidP="0013009E">
      <w:pPr>
        <w:pStyle w:val="NormalHanging12a"/>
      </w:pPr>
      <w:r w:rsidRPr="00026A49">
        <w:lastRenderedPageBreak/>
        <w:t>–</w:t>
      </w:r>
      <w:r w:rsidRPr="00026A49">
        <w:tab/>
        <w:t>uzimajući u obzir članak 60. Poslovnika,</w:t>
      </w:r>
    </w:p>
    <w:p w14:paraId="2918CF3C" w14:textId="77777777" w:rsidR="0013009E" w:rsidRPr="00026A49" w:rsidRDefault="0013009E" w:rsidP="0013009E">
      <w:pPr>
        <w:pStyle w:val="NormalHanging12a"/>
      </w:pPr>
      <w:r w:rsidRPr="00026A49">
        <w:t>–</w:t>
      </w:r>
      <w:r w:rsidRPr="00026A49">
        <w:tab/>
        <w:t>uzimajući u obzir izvješće Odbora za poljoprivredu i ruralni razvoj (A10</w:t>
      </w:r>
      <w:r w:rsidRPr="00026A49">
        <w:noBreakHyphen/>
        <w:t>0220/2025),</w:t>
      </w:r>
    </w:p>
    <w:p w14:paraId="37D2E6E5" w14:textId="4D485A11" w:rsidR="0013009E" w:rsidRDefault="0013009E" w:rsidP="0013009E">
      <w:pPr>
        <w:pStyle w:val="NormalHanging12a"/>
      </w:pPr>
      <w:r w:rsidRPr="00026A49">
        <w:t>1.</w:t>
      </w:r>
      <w:r w:rsidRPr="00026A49">
        <w:tab/>
        <w:t xml:space="preserve">usvaja </w:t>
      </w:r>
      <w:r w:rsidR="00802DB1">
        <w:t>niže navedeno</w:t>
      </w:r>
      <w:r w:rsidRPr="00026A49">
        <w:t xml:space="preserve"> stajalište u prvom čitanju;</w:t>
      </w:r>
    </w:p>
    <w:p w14:paraId="2C78ECEB" w14:textId="2D1BD2BD" w:rsidR="000727B7" w:rsidRPr="000727B7" w:rsidRDefault="000727B7" w:rsidP="0013009E">
      <w:pPr>
        <w:pStyle w:val="NormalHanging12a"/>
        <w:rPr>
          <w:bCs/>
          <w:iCs/>
        </w:rPr>
      </w:pPr>
      <w:r>
        <w:t>2.</w:t>
      </w:r>
      <w:r>
        <w:tab/>
      </w:r>
      <w:r w:rsidRPr="0032133A">
        <w:rPr>
          <w:bCs/>
          <w:iCs/>
        </w:rPr>
        <w:t xml:space="preserve">prima na znanje izjavu Komisije priloženu ovoj Rezoluciji, koja će se objaviti u seriji C </w:t>
      </w:r>
      <w:r w:rsidRPr="0032133A">
        <w:rPr>
          <w:bCs/>
          <w:i/>
        </w:rPr>
        <w:t>Službenog lista Europske unije</w:t>
      </w:r>
      <w:r w:rsidRPr="0032133A">
        <w:rPr>
          <w:bCs/>
          <w:iCs/>
        </w:rPr>
        <w:t>;</w:t>
      </w:r>
    </w:p>
    <w:p w14:paraId="30F0BE94" w14:textId="6BB416BD" w:rsidR="0013009E" w:rsidRPr="00026A49" w:rsidRDefault="000727B7" w:rsidP="0013009E">
      <w:pPr>
        <w:pStyle w:val="NormalHanging12a"/>
      </w:pPr>
      <w:r>
        <w:t>3</w:t>
      </w:r>
      <w:r w:rsidR="0013009E" w:rsidRPr="00026A49">
        <w:t>.</w:t>
      </w:r>
      <w:r w:rsidR="0013009E" w:rsidRPr="00026A49">
        <w:tab/>
        <w:t>poziva Komisiju da predmet ponovno uputi Parlamentu ako zamijeni, bitno izmijeni ili namjerava bitno izmijeniti svoj Prijedlog;</w:t>
      </w:r>
    </w:p>
    <w:p w14:paraId="1ECBF003" w14:textId="76D94552" w:rsidR="0013009E" w:rsidRPr="00026A49" w:rsidRDefault="000727B7" w:rsidP="0013009E">
      <w:pPr>
        <w:pStyle w:val="NormalHanging12a"/>
      </w:pPr>
      <w:r>
        <w:t>4</w:t>
      </w:r>
      <w:r w:rsidR="0013009E" w:rsidRPr="00026A49">
        <w:t>.</w:t>
      </w:r>
      <w:r w:rsidR="0013009E" w:rsidRPr="00026A49">
        <w:tab/>
        <w:t>nalaže svojoj predsjednici da stajalište Parlamenta proslijedi Vijeću, Komisiji i nacionalnim parlamentima.</w:t>
      </w:r>
    </w:p>
    <w:p w14:paraId="28304F7F" w14:textId="77777777" w:rsidR="0013009E" w:rsidRPr="00026A49" w:rsidRDefault="0013009E" w:rsidP="0013009E"/>
    <w:p w14:paraId="74D97797" w14:textId="77777777" w:rsidR="00E02243" w:rsidRDefault="00E02243" w:rsidP="00E02243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E02243" w:rsidSect="003C5A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66CEF8F" w14:textId="3451231A" w:rsidR="00E02243" w:rsidRPr="00763275" w:rsidRDefault="00E02243" w:rsidP="00E0224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5</w:t>
      </w:r>
      <w:r w:rsidRPr="00763275">
        <w:rPr>
          <w:b/>
          <w:bCs/>
          <w:color w:val="000000"/>
        </w:rPr>
        <w:t>)0</w:t>
      </w:r>
      <w:r>
        <w:rPr>
          <w:b/>
          <w:bCs/>
          <w:color w:val="000000"/>
        </w:rPr>
        <w:t>071</w:t>
      </w:r>
    </w:p>
    <w:p w14:paraId="07A2B326" w14:textId="77777777" w:rsidR="00E02243" w:rsidRPr="0032133A" w:rsidRDefault="00E02243" w:rsidP="00E02243">
      <w:pPr>
        <w:spacing w:before="360" w:after="360"/>
        <w:rPr>
          <w:rFonts w:eastAsia="Calibri"/>
          <w:b/>
          <w:szCs w:val="22"/>
          <w:lang w:eastAsia="en-US"/>
        </w:rPr>
      </w:pPr>
      <w:r w:rsidRPr="0032133A">
        <w:rPr>
          <w:b/>
          <w:bCs/>
        </w:rPr>
        <w:t xml:space="preserve">Stajalište Europskog parlamenta usvojeno u prvom čitanju 10. veljače 2026. radi donošenja </w:t>
      </w:r>
      <w:r w:rsidRPr="0032133A">
        <w:rPr>
          <w:rFonts w:eastAsia="Calibri"/>
          <w:b/>
          <w:noProof/>
          <w:szCs w:val="22"/>
          <w:lang w:eastAsia="en-US"/>
        </w:rPr>
        <w:t xml:space="preserve">Uredbe (EU) 2026/... Europskog parlamenta i Vijeća </w:t>
      </w:r>
      <w:r w:rsidRPr="0032133A">
        <w:rPr>
          <w:rFonts w:eastAsia="Calibri"/>
          <w:b/>
          <w:szCs w:val="24"/>
          <w:lang w:eastAsia="en-US"/>
        </w:rPr>
        <w:t>o izmjeni uredaba (EU) br. 1308/2013, (EU) br. 251/2014 i (EU) 2021/2115 u pogledu određenih tržišnih pravila i sektorskih mjera potpore u sektoru vina i za aromatizirane proizvode od vina</w:t>
      </w:r>
      <w:r w:rsidRPr="00DC3B22">
        <w:rPr>
          <w:rFonts w:eastAsia="Calibri"/>
          <w:b/>
          <w:szCs w:val="24"/>
          <w:lang w:eastAsia="en-US"/>
        </w:rPr>
        <w:t xml:space="preserve"> i Uredbe (EU) 2024/1143 u pogledu određenih pravila o označivanju jakih alkoholnih pića</w:t>
      </w:r>
    </w:p>
    <w:p w14:paraId="2769A023" w14:textId="23ACD098" w:rsidR="00DC3B22" w:rsidRPr="00A0575C" w:rsidRDefault="00DC3B22" w:rsidP="00DC3B22">
      <w:pPr>
        <w:widowControl/>
        <w:spacing w:before="360" w:after="120"/>
        <w:rPr>
          <w:rFonts w:eastAsia="Calibri"/>
          <w:bCs/>
          <w:szCs w:val="22"/>
          <w:lang w:eastAsia="hr-HR" w:bidi="hr-HR"/>
        </w:rPr>
      </w:pPr>
      <w:r w:rsidRPr="00A0575C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Uredbi (EU) 2026/4</w:t>
      </w:r>
      <w:r>
        <w:rPr>
          <w:rFonts w:eastAsia="Calibri"/>
          <w:i/>
          <w:szCs w:val="24"/>
          <w:lang w:eastAsia="en-US"/>
        </w:rPr>
        <w:t>71</w:t>
      </w:r>
      <w:r>
        <w:rPr>
          <w:rFonts w:eastAsia="Calibri"/>
          <w:i/>
          <w:szCs w:val="24"/>
          <w:lang w:eastAsia="en-US"/>
        </w:rPr>
        <w:t>.)</w:t>
      </w:r>
    </w:p>
    <w:p w14:paraId="072BF4E3" w14:textId="77777777" w:rsidR="00DC3B22" w:rsidRDefault="00DC3B22">
      <w:pPr>
        <w:widowControl/>
        <w:rPr>
          <w:bCs/>
        </w:rPr>
      </w:pPr>
      <w:r>
        <w:rPr>
          <w:bCs/>
        </w:rPr>
        <w:br w:type="page"/>
      </w:r>
    </w:p>
    <w:p w14:paraId="718096D6" w14:textId="37CB23DF" w:rsidR="00026A49" w:rsidRDefault="000727B7" w:rsidP="0032133A">
      <w:pPr>
        <w:widowControl/>
        <w:spacing w:after="240"/>
        <w:jc w:val="right"/>
        <w:rPr>
          <w:bCs/>
        </w:rPr>
      </w:pPr>
      <w:r w:rsidRPr="0032133A">
        <w:rPr>
          <w:bCs/>
        </w:rPr>
        <w:lastRenderedPageBreak/>
        <w:t>PRILOG ZAKONODAVNOJ REZOLUCIJI</w:t>
      </w:r>
    </w:p>
    <w:p w14:paraId="6D96FC6B" w14:textId="77777777" w:rsidR="000727B7" w:rsidRDefault="000727B7" w:rsidP="000727B7">
      <w:pPr>
        <w:widowControl/>
        <w:jc w:val="right"/>
        <w:rPr>
          <w:bCs/>
        </w:rPr>
      </w:pPr>
    </w:p>
    <w:p w14:paraId="4A99A6B9" w14:textId="1CE0A6B6" w:rsidR="000727B7" w:rsidRPr="000727B7" w:rsidRDefault="000727B7" w:rsidP="0032133A">
      <w:pPr>
        <w:spacing w:after="240" w:line="360" w:lineRule="auto"/>
        <w:jc w:val="center"/>
        <w:rPr>
          <w:color w:val="000000" w:themeColor="text1"/>
          <w:szCs w:val="24"/>
        </w:rPr>
      </w:pPr>
      <w:r w:rsidRPr="000727B7">
        <w:rPr>
          <w:color w:val="000000" w:themeColor="text1"/>
          <w:szCs w:val="24"/>
        </w:rPr>
        <w:t xml:space="preserve">Izjava Komisije povodom donošenja Uredbe </w:t>
      </w:r>
      <w:r w:rsidRPr="000727B7">
        <w:rPr>
          <w:rFonts w:eastAsia="Aptos"/>
          <w:kern w:val="2"/>
          <w:szCs w:val="24"/>
          <w:lang w:eastAsia="en-US"/>
          <w14:ligatures w14:val="standardContextual"/>
        </w:rPr>
        <w:t>(EU) 2026/</w:t>
      </w:r>
      <w:r w:rsidR="00DC3B22">
        <w:rPr>
          <w:rFonts w:eastAsia="Aptos"/>
          <w:kern w:val="2"/>
          <w:szCs w:val="24"/>
          <w:lang w:eastAsia="en-US"/>
          <w14:ligatures w14:val="standardContextual"/>
        </w:rPr>
        <w:t>471</w:t>
      </w:r>
      <w:r w:rsidRPr="000727B7">
        <w:rPr>
          <w:rFonts w:eastAsia="Aptos"/>
          <w:kern w:val="2"/>
          <w:szCs w:val="24"/>
          <w:lang w:eastAsia="en-US"/>
          <w14:ligatures w14:val="standardContextual"/>
        </w:rPr>
        <w:t xml:space="preserve"> </w:t>
      </w:r>
      <w:r w:rsidRPr="000727B7">
        <w:rPr>
          <w:color w:val="000000" w:themeColor="text1"/>
          <w:szCs w:val="24"/>
        </w:rPr>
        <w:t xml:space="preserve">Europskog parlamenta i Vijeća od </w:t>
      </w:r>
      <w:r w:rsidR="00DC3B22">
        <w:rPr>
          <w:color w:val="000000" w:themeColor="text1"/>
          <w:szCs w:val="24"/>
        </w:rPr>
        <w:t>24. veljače</w:t>
      </w:r>
      <w:r w:rsidRPr="000727B7">
        <w:rPr>
          <w:color w:val="000000" w:themeColor="text1"/>
          <w:szCs w:val="24"/>
        </w:rPr>
        <w:t xml:space="preserve"> 2026.</w:t>
      </w:r>
      <w:r w:rsidR="00DC3B22">
        <w:rPr>
          <w:rStyle w:val="FootnoteReference"/>
          <w:color w:val="000000" w:themeColor="text1"/>
          <w:szCs w:val="24"/>
        </w:rPr>
        <w:footnoteReference w:id="3"/>
      </w:r>
      <w:r w:rsidRPr="000727B7">
        <w:rPr>
          <w:color w:val="000000" w:themeColor="text1"/>
          <w:szCs w:val="24"/>
        </w:rPr>
        <w:t xml:space="preserve"> </w:t>
      </w:r>
      <w:r w:rsidRPr="000727B7">
        <w:t>o izmjeni uredaba (EU) br. 1308/2013, (EU) br. 251/2014 i (EU) 2021/2115 u pogledu određenih tržišnih pravila i sektorskih mjera potpore u sektoru vina i za aromatizirane proizvode od vina i Uredbe (EU) 2024/1143 u pogledu određenih pravila o označivanju jakih alkoholnih pića</w:t>
      </w:r>
    </w:p>
    <w:p w14:paraId="039DF368" w14:textId="77777777" w:rsidR="000727B7" w:rsidRPr="000727B7" w:rsidRDefault="000727B7" w:rsidP="0032133A">
      <w:pPr>
        <w:widowControl/>
        <w:spacing w:after="240" w:line="360" w:lineRule="auto"/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</w:pPr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 xml:space="preserve">Komisija će nastojati u 2026. relevantnoj stručnoj skupini ili odboru predstaviti: </w:t>
      </w:r>
    </w:p>
    <w:p w14:paraId="5D8F9B58" w14:textId="77777777" w:rsidR="000727B7" w:rsidRPr="000727B7" w:rsidRDefault="000727B7" w:rsidP="0032133A">
      <w:pPr>
        <w:widowControl/>
        <w:spacing w:after="160" w:line="360" w:lineRule="auto"/>
        <w:ind w:left="567" w:hanging="567"/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</w:pPr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>1)</w:t>
      </w:r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ab/>
        <w:t xml:space="preserve">nacrt provedbenog akta o izmjeni Uredbe (EU) 2018/274 u pogledu mogućnosti proširenja primjene </w:t>
      </w:r>
      <w:r w:rsidRPr="000727B7">
        <w:rPr>
          <w:rFonts w:eastAsia="Aptos"/>
          <w:b/>
          <w:iCs/>
          <w:color w:val="000000" w:themeColor="text1"/>
          <w:kern w:val="2"/>
          <w:szCs w:val="24"/>
          <w:lang w:eastAsia="en-US"/>
          <w14:ligatures w14:val="standardContextual"/>
        </w:rPr>
        <w:t>pojednostavnjenog postupka za dodjelu odobrenja za ponovnu sadnju</w:t>
      </w:r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 xml:space="preserve"> iz članka 9. te uredbe.</w:t>
      </w:r>
    </w:p>
    <w:p w14:paraId="69477282" w14:textId="77777777" w:rsidR="000727B7" w:rsidRPr="000727B7" w:rsidRDefault="000727B7" w:rsidP="0032133A">
      <w:pPr>
        <w:widowControl/>
        <w:spacing w:after="160" w:line="360" w:lineRule="auto"/>
        <w:ind w:left="567" w:hanging="567"/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</w:pPr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>2)</w:t>
      </w:r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ab/>
        <w:t xml:space="preserve">nacrt izmjene Delegirane uredbe Komisije (EU) 2019/33 radi definiranja sustava Unije za naznačivanje </w:t>
      </w:r>
      <w:r w:rsidRPr="000727B7">
        <w:rPr>
          <w:rFonts w:eastAsia="Aptos"/>
          <w:b/>
          <w:iCs/>
          <w:color w:val="000000" w:themeColor="text1"/>
          <w:kern w:val="2"/>
          <w:szCs w:val="24"/>
          <w:lang w:eastAsia="en-US"/>
          <w14:ligatures w14:val="standardContextual"/>
        </w:rPr>
        <w:t>elektroničkog sredstva</w:t>
      </w:r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 xml:space="preserve"> na ambalaži ili oznaci proizvoda od vinove loze iz članka 119. stavaka 4. i 5. Uredbe (EU) br. 1308/2013.</w:t>
      </w:r>
    </w:p>
    <w:p w14:paraId="7500C282" w14:textId="77777777" w:rsidR="000727B7" w:rsidRPr="000727B7" w:rsidRDefault="000727B7" w:rsidP="0032133A">
      <w:pPr>
        <w:widowControl/>
        <w:spacing w:after="160" w:line="360" w:lineRule="auto"/>
        <w:ind w:left="567" w:hanging="567"/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</w:pPr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>3)</w:t>
      </w:r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ab/>
        <w:t xml:space="preserve">nacrt izmjene Delegirane uredbe Komisije (EU) 2019/934 kako bi se u </w:t>
      </w:r>
      <w:r w:rsidRPr="000727B7">
        <w:rPr>
          <w:rFonts w:eastAsia="Aptos"/>
          <w:b/>
          <w:iCs/>
          <w:color w:val="000000" w:themeColor="text1"/>
          <w:kern w:val="2"/>
          <w:szCs w:val="24"/>
          <w:lang w:eastAsia="en-US"/>
          <w14:ligatures w14:val="standardContextual"/>
        </w:rPr>
        <w:t>definiciju „</w:t>
      </w:r>
      <w:proofErr w:type="spellStart"/>
      <w:r w:rsidRPr="000727B7">
        <w:rPr>
          <w:rFonts w:eastAsia="Aptos"/>
          <w:b/>
          <w:iCs/>
          <w:color w:val="000000" w:themeColor="text1"/>
          <w:kern w:val="2"/>
          <w:szCs w:val="24"/>
          <w:lang w:eastAsia="en-US"/>
          <w14:ligatures w14:val="standardContextual"/>
        </w:rPr>
        <w:t>kupaže</w:t>
      </w:r>
      <w:proofErr w:type="spellEnd"/>
      <w:r w:rsidRPr="000727B7">
        <w:rPr>
          <w:rFonts w:eastAsia="Aptos"/>
          <w:b/>
          <w:iCs/>
          <w:color w:val="000000" w:themeColor="text1"/>
          <w:kern w:val="2"/>
          <w:szCs w:val="24"/>
          <w:lang w:eastAsia="en-US"/>
          <w14:ligatures w14:val="standardContextual"/>
        </w:rPr>
        <w:t>”</w:t>
      </w:r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 xml:space="preserve"> („miješanja”) uključila mogućnost miješanja </w:t>
      </w:r>
      <w:proofErr w:type="spellStart"/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>dealkoholiziranih</w:t>
      </w:r>
      <w:proofErr w:type="spellEnd"/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 xml:space="preserve"> ili djelomično </w:t>
      </w:r>
      <w:proofErr w:type="spellStart"/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>dealkoholiziranih</w:t>
      </w:r>
      <w:proofErr w:type="spellEnd"/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 xml:space="preserve"> vina s mirnim vinima za dobivanje djelomično </w:t>
      </w:r>
      <w:proofErr w:type="spellStart"/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>dealkoholiziranih</w:t>
      </w:r>
      <w:proofErr w:type="spellEnd"/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 xml:space="preserve"> vina.</w:t>
      </w:r>
    </w:p>
    <w:p w14:paraId="3932FAE6" w14:textId="58BC4B3D" w:rsidR="000727B7" w:rsidRPr="000727B7" w:rsidRDefault="000727B7" w:rsidP="0032133A">
      <w:pPr>
        <w:widowControl/>
        <w:spacing w:after="160" w:line="360" w:lineRule="auto"/>
        <w:ind w:left="567" w:hanging="567"/>
        <w:rPr>
          <w:iCs/>
        </w:rPr>
      </w:pPr>
      <w:r w:rsidRPr="000727B7">
        <w:rPr>
          <w:iCs/>
        </w:rPr>
        <w:t>4)</w:t>
      </w:r>
      <w:r w:rsidRPr="000727B7">
        <w:rPr>
          <w:iCs/>
        </w:rPr>
        <w:tab/>
      </w:r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 xml:space="preserve">nacrt delegiranog akta o uvjetima za </w:t>
      </w:r>
      <w:r w:rsidRPr="000727B7">
        <w:rPr>
          <w:rFonts w:eastAsia="Aptos"/>
          <w:b/>
          <w:iCs/>
          <w:color w:val="000000" w:themeColor="text1"/>
          <w:kern w:val="2"/>
          <w:szCs w:val="24"/>
          <w:lang w:eastAsia="en-US"/>
          <w14:ligatures w14:val="standardContextual"/>
        </w:rPr>
        <w:t>krčenje napuštenih vinograda</w:t>
      </w:r>
      <w:r w:rsidRPr="000727B7">
        <w:rPr>
          <w:rFonts w:eastAsia="Aptos"/>
          <w:iCs/>
          <w:color w:val="000000" w:themeColor="text1"/>
          <w:kern w:val="2"/>
          <w:szCs w:val="24"/>
          <w:lang w:eastAsia="en-US"/>
          <w14:ligatures w14:val="standardContextual"/>
        </w:rPr>
        <w:t xml:space="preserve"> iz novog članka 62. stavka 6. Uredbe (EU) br. 1308/2013.</w:t>
      </w:r>
    </w:p>
    <w:p w14:paraId="714564CE" w14:textId="77777777" w:rsidR="000727B7" w:rsidRPr="0032133A" w:rsidRDefault="000727B7" w:rsidP="0032133A">
      <w:pPr>
        <w:widowControl/>
        <w:spacing w:line="360" w:lineRule="auto"/>
        <w:jc w:val="center"/>
        <w:rPr>
          <w:bCs/>
        </w:rPr>
      </w:pPr>
    </w:p>
    <w:sectPr w:rsidR="000727B7" w:rsidRPr="0032133A" w:rsidSect="003C5A1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AB018" w14:textId="77777777" w:rsidR="007A03BA" w:rsidRPr="003C5A16" w:rsidRDefault="007A03BA">
      <w:r w:rsidRPr="003C5A16">
        <w:separator/>
      </w:r>
    </w:p>
  </w:endnote>
  <w:endnote w:type="continuationSeparator" w:id="0">
    <w:p w14:paraId="4AA61E35" w14:textId="77777777" w:rsidR="007A03BA" w:rsidRPr="003C5A16" w:rsidRDefault="007A03BA">
      <w:r w:rsidRPr="003C5A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BDCEB" w14:textId="77777777" w:rsidR="00064002" w:rsidRPr="003C5A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2ACFD" w14:textId="77777777" w:rsidR="00064002" w:rsidRPr="003C5A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F9F09" w14:textId="77777777" w:rsidR="00064002" w:rsidRPr="003C5A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F471D" w14:textId="77777777" w:rsidR="007A03BA" w:rsidRPr="003C5A16" w:rsidRDefault="007A03BA">
      <w:r w:rsidRPr="003C5A16">
        <w:separator/>
      </w:r>
    </w:p>
  </w:footnote>
  <w:footnote w:type="continuationSeparator" w:id="0">
    <w:p w14:paraId="5D071C83" w14:textId="77777777" w:rsidR="007A03BA" w:rsidRPr="003C5A16" w:rsidRDefault="007A03BA">
      <w:r w:rsidRPr="003C5A16">
        <w:continuationSeparator/>
      </w:r>
    </w:p>
  </w:footnote>
  <w:footnote w:id="1">
    <w:p w14:paraId="35AC25B7" w14:textId="1944FF71" w:rsidR="0013009E" w:rsidRPr="00E02243" w:rsidRDefault="0013009E" w:rsidP="003C5A16">
      <w:pPr>
        <w:pStyle w:val="FootnoteText"/>
        <w:ind w:left="567" w:hanging="567"/>
        <w:rPr>
          <w:sz w:val="24"/>
          <w:szCs w:val="24"/>
          <w:lang w:val="hr-HR"/>
        </w:rPr>
      </w:pPr>
      <w:r w:rsidRPr="00E02243">
        <w:rPr>
          <w:rStyle w:val="FootnoteReference"/>
          <w:sz w:val="24"/>
          <w:szCs w:val="24"/>
          <w:lang w:val="hr-HR"/>
        </w:rPr>
        <w:footnoteRef/>
      </w:r>
      <w:r w:rsidR="003C5A16" w:rsidRPr="00E02243">
        <w:rPr>
          <w:sz w:val="24"/>
          <w:lang w:val="hr-HR"/>
        </w:rPr>
        <w:t xml:space="preserve"> </w:t>
      </w:r>
      <w:r w:rsidR="003C5A16" w:rsidRPr="00E02243">
        <w:rPr>
          <w:sz w:val="24"/>
          <w:lang w:val="hr-HR"/>
        </w:rPr>
        <w:tab/>
      </w:r>
      <w:r w:rsidRPr="00E02243">
        <w:rPr>
          <w:sz w:val="24"/>
          <w:lang w:val="hr-HR"/>
        </w:rPr>
        <w:t>SL C, C/202</w:t>
      </w:r>
      <w:r w:rsidR="00802DB1" w:rsidRPr="00E02243">
        <w:rPr>
          <w:sz w:val="24"/>
          <w:lang w:val="hr-HR"/>
        </w:rPr>
        <w:t>5</w:t>
      </w:r>
      <w:r w:rsidRPr="00E02243">
        <w:rPr>
          <w:sz w:val="24"/>
          <w:lang w:val="hr-HR"/>
        </w:rPr>
        <w:t>/</w:t>
      </w:r>
      <w:r w:rsidR="00802DB1" w:rsidRPr="00E02243">
        <w:rPr>
          <w:sz w:val="24"/>
          <w:lang w:val="hr-HR"/>
        </w:rPr>
        <w:t>5161</w:t>
      </w:r>
      <w:r w:rsidRPr="00E02243">
        <w:rPr>
          <w:sz w:val="24"/>
          <w:lang w:val="hr-HR"/>
        </w:rPr>
        <w:t xml:space="preserve">, </w:t>
      </w:r>
      <w:r w:rsidR="00802DB1" w:rsidRPr="00E02243">
        <w:rPr>
          <w:sz w:val="24"/>
          <w:lang w:val="hr-HR"/>
        </w:rPr>
        <w:t>28.10.2025.</w:t>
      </w:r>
      <w:r w:rsidRPr="00E02243">
        <w:rPr>
          <w:sz w:val="24"/>
          <w:lang w:val="hr-HR"/>
        </w:rPr>
        <w:t xml:space="preserve">, ELI: </w:t>
      </w:r>
      <w:hyperlink r:id="rId1" w:history="1">
        <w:r w:rsidR="00802DB1" w:rsidRPr="00E02243">
          <w:rPr>
            <w:rStyle w:val="Hyperlink"/>
            <w:sz w:val="24"/>
            <w:lang w:val="hr-HR"/>
          </w:rPr>
          <w:t>http://data.europa.eu/eli/C/2025/5161/oj</w:t>
        </w:r>
      </w:hyperlink>
      <w:r w:rsidRPr="00E02243">
        <w:rPr>
          <w:sz w:val="24"/>
          <w:lang w:val="hr-HR"/>
        </w:rPr>
        <w:t>.</w:t>
      </w:r>
    </w:p>
  </w:footnote>
  <w:footnote w:id="2">
    <w:p w14:paraId="282FA364" w14:textId="091463D0" w:rsidR="0013009E" w:rsidRPr="00E02243" w:rsidRDefault="0013009E" w:rsidP="003C5A16">
      <w:pPr>
        <w:pStyle w:val="FootnoteText"/>
        <w:ind w:left="567" w:hanging="567"/>
        <w:rPr>
          <w:sz w:val="24"/>
          <w:szCs w:val="24"/>
          <w:lang w:val="hr-HR"/>
        </w:rPr>
      </w:pPr>
      <w:r w:rsidRPr="00E02243">
        <w:rPr>
          <w:rStyle w:val="FootnoteReference"/>
          <w:sz w:val="24"/>
          <w:szCs w:val="24"/>
          <w:lang w:val="hr-HR"/>
        </w:rPr>
        <w:footnoteRef/>
      </w:r>
      <w:r w:rsidR="003C5A16" w:rsidRPr="00E02243">
        <w:rPr>
          <w:sz w:val="24"/>
          <w:lang w:val="hr-HR"/>
        </w:rPr>
        <w:t xml:space="preserve"> </w:t>
      </w:r>
      <w:r w:rsidR="003C5A16" w:rsidRPr="00E02243">
        <w:rPr>
          <w:sz w:val="24"/>
          <w:lang w:val="hr-HR"/>
        </w:rPr>
        <w:tab/>
      </w:r>
      <w:r w:rsidRPr="00E02243">
        <w:rPr>
          <w:sz w:val="24"/>
          <w:lang w:val="hr-HR"/>
        </w:rPr>
        <w:t>SL C, C/202</w:t>
      </w:r>
      <w:r w:rsidR="00802DB1" w:rsidRPr="00E02243">
        <w:rPr>
          <w:sz w:val="24"/>
          <w:lang w:val="hr-HR"/>
        </w:rPr>
        <w:t>5</w:t>
      </w:r>
      <w:r w:rsidRPr="00E02243">
        <w:rPr>
          <w:sz w:val="24"/>
          <w:lang w:val="hr-HR"/>
        </w:rPr>
        <w:t>/</w:t>
      </w:r>
      <w:r w:rsidR="00802DB1" w:rsidRPr="00E02243">
        <w:rPr>
          <w:sz w:val="24"/>
          <w:lang w:val="hr-HR"/>
        </w:rPr>
        <w:t>4418, 29.8.2025.</w:t>
      </w:r>
      <w:r w:rsidRPr="00E02243">
        <w:rPr>
          <w:sz w:val="24"/>
          <w:lang w:val="hr-HR"/>
        </w:rPr>
        <w:t xml:space="preserve">, ELI: </w:t>
      </w:r>
      <w:hyperlink r:id="rId2" w:history="1">
        <w:r w:rsidR="00802DB1" w:rsidRPr="00E02243">
          <w:rPr>
            <w:rStyle w:val="Hyperlink"/>
            <w:sz w:val="24"/>
            <w:lang w:val="hr-HR"/>
          </w:rPr>
          <w:t>http://data.europa.eu/eli/C/2025/4418/oj</w:t>
        </w:r>
      </w:hyperlink>
      <w:r w:rsidRPr="00E02243">
        <w:rPr>
          <w:sz w:val="24"/>
          <w:lang w:val="hr-HR"/>
        </w:rPr>
        <w:t>.</w:t>
      </w:r>
    </w:p>
  </w:footnote>
  <w:footnote w:id="3">
    <w:p w14:paraId="71684604" w14:textId="67E7435D" w:rsidR="00DC3B22" w:rsidRPr="00DC3B22" w:rsidRDefault="00DC3B22" w:rsidP="00DC3B22">
      <w:pPr>
        <w:pStyle w:val="FootnoteText"/>
        <w:ind w:left="567" w:hanging="567"/>
        <w:rPr>
          <w:lang w:val="hr-HR"/>
        </w:rPr>
      </w:pPr>
      <w:r w:rsidRPr="00DC3B22">
        <w:rPr>
          <w:rStyle w:val="FootnoteReference"/>
          <w:sz w:val="24"/>
          <w:szCs w:val="24"/>
        </w:rPr>
        <w:footnoteRef/>
      </w:r>
      <w:r w:rsidRPr="00DC3B22">
        <w:rPr>
          <w:sz w:val="24"/>
          <w:szCs w:val="24"/>
          <w:lang w:val="hr-HR"/>
        </w:rPr>
        <w:tab/>
      </w:r>
      <w:r w:rsidRPr="00DC3B22">
        <w:rPr>
          <w:sz w:val="24"/>
          <w:szCs w:val="24"/>
          <w:lang w:val="hr-HR"/>
        </w:rPr>
        <w:t>SL</w:t>
      </w:r>
      <w:r w:rsidRPr="00DC3B22">
        <w:rPr>
          <w:sz w:val="24"/>
          <w:szCs w:val="24"/>
          <w:lang w:val="sk-SK"/>
        </w:rPr>
        <w:t xml:space="preserve"> L, 2026/471, 26.2.2026</w:t>
      </w:r>
      <w:r w:rsidRPr="00DC3B22">
        <w:rPr>
          <w:sz w:val="24"/>
          <w:szCs w:val="24"/>
          <w:lang w:val="sk-SK"/>
        </w:rPr>
        <w:t>.</w:t>
      </w:r>
      <w:r w:rsidRPr="00DC3B22">
        <w:rPr>
          <w:sz w:val="24"/>
          <w:szCs w:val="24"/>
          <w:lang w:val="sk-SK"/>
        </w:rPr>
        <w:t xml:space="preserve">, ELI: </w:t>
      </w:r>
      <w:hyperlink r:id="rId3" w:history="1">
        <w:r w:rsidRPr="00DC3B22">
          <w:rPr>
            <w:rStyle w:val="Hyperlink"/>
            <w:sz w:val="24"/>
            <w:szCs w:val="24"/>
            <w:lang w:val="sk-SK"/>
          </w:rPr>
          <w:t>http://data.europa</w:t>
        </w:r>
        <w:r w:rsidRPr="00DC3B22">
          <w:rPr>
            <w:rStyle w:val="Hyperlink"/>
            <w:sz w:val="24"/>
            <w:szCs w:val="24"/>
            <w:lang w:val="sk-SK"/>
          </w:rPr>
          <w:t>.</w:t>
        </w:r>
        <w:r w:rsidRPr="00DC3B22">
          <w:rPr>
            <w:rStyle w:val="Hyperlink"/>
            <w:sz w:val="24"/>
            <w:szCs w:val="24"/>
            <w:lang w:val="sk-SK"/>
          </w:rPr>
          <w:t>eu/eli/reg/2026/471/oj</w:t>
        </w:r>
      </w:hyperlink>
      <w:r w:rsidRPr="00DC3B22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678F" w14:textId="77777777" w:rsidR="00064002" w:rsidRPr="003C5A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547BA" w14:textId="77777777" w:rsidR="00064002" w:rsidRPr="003C5A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D35F8" w14:textId="77777777" w:rsidR="00064002" w:rsidRPr="003C5A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5559105">
    <w:abstractNumId w:val="9"/>
  </w:num>
  <w:num w:numId="2" w16cid:durableId="986974086">
    <w:abstractNumId w:val="9"/>
  </w:num>
  <w:num w:numId="3" w16cid:durableId="1148546584">
    <w:abstractNumId w:val="7"/>
  </w:num>
  <w:num w:numId="4" w16cid:durableId="1017535958">
    <w:abstractNumId w:val="7"/>
  </w:num>
  <w:num w:numId="5" w16cid:durableId="1247150292">
    <w:abstractNumId w:val="6"/>
  </w:num>
  <w:num w:numId="6" w16cid:durableId="1200432396">
    <w:abstractNumId w:val="6"/>
  </w:num>
  <w:num w:numId="7" w16cid:durableId="332488453">
    <w:abstractNumId w:val="5"/>
  </w:num>
  <w:num w:numId="8" w16cid:durableId="2046513761">
    <w:abstractNumId w:val="5"/>
  </w:num>
  <w:num w:numId="9" w16cid:durableId="1589923281">
    <w:abstractNumId w:val="4"/>
  </w:num>
  <w:num w:numId="10" w16cid:durableId="1817530433">
    <w:abstractNumId w:val="4"/>
  </w:num>
  <w:num w:numId="11" w16cid:durableId="1611430469">
    <w:abstractNumId w:val="8"/>
  </w:num>
  <w:num w:numId="12" w16cid:durableId="1758408127">
    <w:abstractNumId w:val="8"/>
  </w:num>
  <w:num w:numId="13" w16cid:durableId="1087074358">
    <w:abstractNumId w:val="3"/>
  </w:num>
  <w:num w:numId="14" w16cid:durableId="229851736">
    <w:abstractNumId w:val="3"/>
  </w:num>
  <w:num w:numId="15" w16cid:durableId="975067914">
    <w:abstractNumId w:val="2"/>
  </w:num>
  <w:num w:numId="16" w16cid:durableId="1382510808">
    <w:abstractNumId w:val="2"/>
  </w:num>
  <w:num w:numId="17" w16cid:durableId="430442641">
    <w:abstractNumId w:val="1"/>
  </w:num>
  <w:num w:numId="18" w16cid:durableId="2098822667">
    <w:abstractNumId w:val="1"/>
  </w:num>
  <w:num w:numId="19" w16cid:durableId="694695367">
    <w:abstractNumId w:val="0"/>
  </w:num>
  <w:num w:numId="20" w16cid:durableId="1140996771">
    <w:abstractNumId w:val="0"/>
  </w:num>
  <w:num w:numId="21" w16cid:durableId="357004212">
    <w:abstractNumId w:val="9"/>
  </w:num>
  <w:num w:numId="22" w16cid:durableId="1167747650">
    <w:abstractNumId w:val="7"/>
  </w:num>
  <w:num w:numId="23" w16cid:durableId="1573270182">
    <w:abstractNumId w:val="6"/>
  </w:num>
  <w:num w:numId="24" w16cid:durableId="1048380745">
    <w:abstractNumId w:val="5"/>
  </w:num>
  <w:num w:numId="25" w16cid:durableId="740950765">
    <w:abstractNumId w:val="4"/>
  </w:num>
  <w:num w:numId="26" w16cid:durableId="753670575">
    <w:abstractNumId w:val="8"/>
  </w:num>
  <w:num w:numId="27" w16cid:durableId="498930792">
    <w:abstractNumId w:val="3"/>
  </w:num>
  <w:num w:numId="28" w16cid:durableId="1157456600">
    <w:abstractNumId w:val="2"/>
  </w:num>
  <w:num w:numId="29" w16cid:durableId="2127700622">
    <w:abstractNumId w:val="1"/>
  </w:num>
  <w:num w:numId="30" w16cid:durableId="890918054">
    <w:abstractNumId w:val="0"/>
  </w:num>
  <w:num w:numId="31" w16cid:durableId="1338114774">
    <w:abstractNumId w:val="9"/>
  </w:num>
  <w:num w:numId="32" w16cid:durableId="1384912361">
    <w:abstractNumId w:val="7"/>
  </w:num>
  <w:num w:numId="33" w16cid:durableId="925918999">
    <w:abstractNumId w:val="6"/>
  </w:num>
  <w:num w:numId="34" w16cid:durableId="2110351353">
    <w:abstractNumId w:val="5"/>
  </w:num>
  <w:num w:numId="35" w16cid:durableId="1661033111">
    <w:abstractNumId w:val="4"/>
  </w:num>
  <w:num w:numId="36" w16cid:durableId="1586449420">
    <w:abstractNumId w:val="8"/>
  </w:num>
  <w:num w:numId="37" w16cid:durableId="535698264">
    <w:abstractNumId w:val="3"/>
  </w:num>
  <w:num w:numId="38" w16cid:durableId="671684368">
    <w:abstractNumId w:val="2"/>
  </w:num>
  <w:num w:numId="39" w16cid:durableId="40374133">
    <w:abstractNumId w:val="1"/>
  </w:num>
  <w:num w:numId="40" w16cid:durableId="415710713">
    <w:abstractNumId w:val="0"/>
  </w:num>
  <w:num w:numId="41" w16cid:durableId="1181311888">
    <w:abstractNumId w:val="10"/>
  </w:num>
  <w:num w:numId="42" w16cid:durableId="738865159">
    <w:abstractNumId w:val="10"/>
  </w:num>
  <w:num w:numId="43" w16cid:durableId="1851523622">
    <w:abstractNumId w:val="10"/>
  </w:num>
  <w:num w:numId="44" w16cid:durableId="9451162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HR"/>
    <w:docVar w:name="dvnumam" w:val="91"/>
    <w:docVar w:name="dvpe" w:val="774.316"/>
    <w:docVar w:name="dvrapporteur" w:val="Izvjestiteljica: "/>
    <w:docVar w:name="dvstar" w:val="***I"/>
    <w:docVar w:name="dvtitre" w:val="Zakonodavna rezolucija Europskog parlamenta od .... 2026. o Prijedlogu uredbe Europskog parlamenta i Vijeća o izmjeni uredaba (EU) br. 1308/2013, (EU) 2021/2115 i (EU) br. 251/2014 u pogledu određenih tržišnih pravila i sektorskih mjera potpore u sektoru vina i za aromatizirane proizvode od vina(COM(2025)0137 – C10-0058/2025 – 2025/0071(COD))"/>
  </w:docVars>
  <w:rsids>
    <w:rsidRoot w:val="007A03BA"/>
    <w:rsid w:val="00002272"/>
    <w:rsid w:val="00026A49"/>
    <w:rsid w:val="00064002"/>
    <w:rsid w:val="000677B9"/>
    <w:rsid w:val="000727B7"/>
    <w:rsid w:val="000831BA"/>
    <w:rsid w:val="000A42CC"/>
    <w:rsid w:val="000E7DD9"/>
    <w:rsid w:val="0010095E"/>
    <w:rsid w:val="00125B37"/>
    <w:rsid w:val="0013009E"/>
    <w:rsid w:val="00187494"/>
    <w:rsid w:val="001F32AE"/>
    <w:rsid w:val="002767FF"/>
    <w:rsid w:val="002B18FE"/>
    <w:rsid w:val="002B5493"/>
    <w:rsid w:val="0032133A"/>
    <w:rsid w:val="00343214"/>
    <w:rsid w:val="00361C00"/>
    <w:rsid w:val="00395FA1"/>
    <w:rsid w:val="003A5164"/>
    <w:rsid w:val="003C5A16"/>
    <w:rsid w:val="003E15D4"/>
    <w:rsid w:val="003F6F19"/>
    <w:rsid w:val="00411CCE"/>
    <w:rsid w:val="0041666E"/>
    <w:rsid w:val="00421060"/>
    <w:rsid w:val="0042637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0D19"/>
    <w:rsid w:val="006631B6"/>
    <w:rsid w:val="00680577"/>
    <w:rsid w:val="006D54B8"/>
    <w:rsid w:val="006E5904"/>
    <w:rsid w:val="006F74FA"/>
    <w:rsid w:val="00731ADD"/>
    <w:rsid w:val="00734777"/>
    <w:rsid w:val="00747932"/>
    <w:rsid w:val="00751A4A"/>
    <w:rsid w:val="00756632"/>
    <w:rsid w:val="00762C74"/>
    <w:rsid w:val="00786EC0"/>
    <w:rsid w:val="007A03BA"/>
    <w:rsid w:val="007D1690"/>
    <w:rsid w:val="007E22AD"/>
    <w:rsid w:val="00802DB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487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B22"/>
    <w:rsid w:val="00E02243"/>
    <w:rsid w:val="00E365E1"/>
    <w:rsid w:val="00E820A4"/>
    <w:rsid w:val="00EB006A"/>
    <w:rsid w:val="00EB4772"/>
    <w:rsid w:val="00ED169E"/>
    <w:rsid w:val="00ED4235"/>
    <w:rsid w:val="00F04346"/>
    <w:rsid w:val="00F070F5"/>
    <w:rsid w:val="00F075DC"/>
    <w:rsid w:val="00F149E9"/>
    <w:rsid w:val="00F5134D"/>
    <w:rsid w:val="00F74202"/>
    <w:rsid w:val="00F8441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82A581"/>
  <w15:chartTrackingRefBased/>
  <w15:docId w15:val="{7BBABD5F-BF37-4441-865D-883360512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3009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3009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3009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3009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3009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3009E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13009E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13009E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13009E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nhideWhenUsed/>
    <w:qFormat/>
    <w:rsid w:val="0013009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3009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3009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3009E"/>
    <w:pPr>
      <w:spacing w:after="120"/>
    </w:pPr>
  </w:style>
  <w:style w:type="paragraph" w:customStyle="1" w:styleId="PageHeading">
    <w:name w:val="PageHeading"/>
    <w:basedOn w:val="Normal"/>
    <w:rsid w:val="0013009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3009E"/>
    <w:rPr>
      <w:b/>
    </w:rPr>
  </w:style>
  <w:style w:type="paragraph" w:customStyle="1" w:styleId="NormalBold12a">
    <w:name w:val="NormalBold12a"/>
    <w:basedOn w:val="Normal"/>
    <w:rsid w:val="0013009E"/>
    <w:pPr>
      <w:spacing w:after="240"/>
    </w:pPr>
    <w:rPr>
      <w:b/>
    </w:rPr>
  </w:style>
  <w:style w:type="paragraph" w:customStyle="1" w:styleId="AmJustText">
    <w:name w:val="AmJustText"/>
    <w:basedOn w:val="Normal"/>
    <w:rsid w:val="0013009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3009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3009E"/>
    <w:pPr>
      <w:spacing w:after="480"/>
      <w:ind w:left="1417"/>
    </w:pPr>
  </w:style>
  <w:style w:type="paragraph" w:customStyle="1" w:styleId="CoverNormal">
    <w:name w:val="CoverNormal"/>
    <w:basedOn w:val="Normal"/>
    <w:rsid w:val="0013009E"/>
    <w:pPr>
      <w:ind w:left="1418"/>
    </w:pPr>
  </w:style>
  <w:style w:type="paragraph" w:customStyle="1" w:styleId="AmCrossRef">
    <w:name w:val="AmCrossRef"/>
    <w:basedOn w:val="Normal"/>
    <w:rsid w:val="0013009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3009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3009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3009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3009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3009E"/>
    <w:pPr>
      <w:spacing w:before="240" w:after="1200"/>
    </w:pPr>
  </w:style>
  <w:style w:type="paragraph" w:styleId="Header">
    <w:name w:val="header"/>
    <w:basedOn w:val="Normal"/>
    <w:link w:val="HeaderChar"/>
    <w:rsid w:val="001300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3009E"/>
    <w:rPr>
      <w:sz w:val="24"/>
      <w:lang w:val="hr-HR"/>
    </w:rPr>
  </w:style>
  <w:style w:type="paragraph" w:customStyle="1" w:styleId="AmOrLang">
    <w:name w:val="AmOrLang"/>
    <w:basedOn w:val="Normal"/>
    <w:rsid w:val="0013009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3009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3009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3009E"/>
    <w:pPr>
      <w:spacing w:before="240"/>
    </w:pPr>
    <w:rPr>
      <w:b/>
    </w:rPr>
  </w:style>
  <w:style w:type="paragraph" w:customStyle="1" w:styleId="EPBody">
    <w:name w:val="EPBody"/>
    <w:basedOn w:val="Normal"/>
    <w:rsid w:val="0013009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3009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3009E"/>
    <w:pPr>
      <w:spacing w:before="480" w:after="240"/>
    </w:pPr>
  </w:style>
  <w:style w:type="paragraph" w:customStyle="1" w:styleId="Lgendesigne">
    <w:name w:val="Légende signe"/>
    <w:basedOn w:val="Normal"/>
    <w:rsid w:val="0013009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3009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3009E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13009E"/>
    <w:rPr>
      <w:b/>
      <w:sz w:val="24"/>
      <w:lang w:val="hr-HR"/>
    </w:rPr>
  </w:style>
  <w:style w:type="character" w:customStyle="1" w:styleId="FooterChar">
    <w:name w:val="Footer Char"/>
    <w:basedOn w:val="DefaultParagraphFont"/>
    <w:link w:val="Footer"/>
    <w:rsid w:val="0013009E"/>
    <w:rPr>
      <w:sz w:val="22"/>
    </w:rPr>
  </w:style>
  <w:style w:type="paragraph" w:styleId="Footer">
    <w:name w:val="footer"/>
    <w:link w:val="FooterChar"/>
    <w:unhideWhenUsed/>
    <w:rsid w:val="0013009E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uiPriority w:val="99"/>
    <w:rsid w:val="0013009E"/>
    <w:rPr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13009E"/>
    <w:rPr>
      <w:noProof/>
      <w:sz w:val="24"/>
    </w:rPr>
  </w:style>
  <w:style w:type="paragraph" w:customStyle="1" w:styleId="Normal12">
    <w:name w:val="Normal12"/>
    <w:basedOn w:val="Normal"/>
    <w:link w:val="Normal12Char"/>
    <w:rsid w:val="0013009E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13009E"/>
    <w:rPr>
      <w:sz w:val="24"/>
    </w:rPr>
  </w:style>
  <w:style w:type="paragraph" w:customStyle="1" w:styleId="Normal6">
    <w:name w:val="Normal6"/>
    <w:basedOn w:val="Normal"/>
    <w:link w:val="Normal6Char"/>
    <w:rsid w:val="0013009E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13009E"/>
    <w:rPr>
      <w:i/>
    </w:rPr>
  </w:style>
  <w:style w:type="paragraph" w:customStyle="1" w:styleId="Footer2">
    <w:name w:val="Footer2"/>
    <w:basedOn w:val="Normal12"/>
    <w:rsid w:val="0013009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13009E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13009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3009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3009E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13009E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13009E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13009E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13009E"/>
    <w:rPr>
      <w:color w:val="0563C1"/>
      <w:u w:val="single"/>
    </w:rPr>
  </w:style>
  <w:style w:type="paragraph" w:styleId="BalloonText">
    <w:name w:val="Balloon Text"/>
    <w:basedOn w:val="Normal"/>
    <w:link w:val="BalloonTextChar"/>
    <w:unhideWhenUsed/>
    <w:rsid w:val="001300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3009E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rsid w:val="001300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13009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3009E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300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3009E"/>
    <w:rPr>
      <w:b/>
      <w:bCs/>
      <w:lang w:val="hr-HR"/>
    </w:rPr>
  </w:style>
  <w:style w:type="paragraph" w:customStyle="1" w:styleId="Point1">
    <w:name w:val="Point 1"/>
    <w:basedOn w:val="Normal"/>
    <w:rsid w:val="0013009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13009E"/>
    <w:rPr>
      <w:i/>
      <w:iCs/>
    </w:rPr>
  </w:style>
  <w:style w:type="character" w:styleId="FollowedHyperlink">
    <w:name w:val="FollowedHyperlink"/>
    <w:basedOn w:val="DefaultParagraphFont"/>
    <w:uiPriority w:val="99"/>
    <w:unhideWhenUsed/>
    <w:rsid w:val="0013009E"/>
    <w:rPr>
      <w:color w:val="954F72" w:themeColor="followedHyperlink"/>
      <w:u w:val="single"/>
    </w:rPr>
  </w:style>
  <w:style w:type="paragraph" w:customStyle="1" w:styleId="Normal24a">
    <w:name w:val="Normal24a"/>
    <w:basedOn w:val="Normal"/>
    <w:rsid w:val="0013009E"/>
    <w:pPr>
      <w:spacing w:after="480"/>
    </w:pPr>
  </w:style>
  <w:style w:type="paragraph" w:customStyle="1" w:styleId="NormalBoldCenter">
    <w:name w:val="NormalBoldCenter"/>
    <w:basedOn w:val="Normal"/>
    <w:rsid w:val="0013009E"/>
    <w:pPr>
      <w:jc w:val="center"/>
    </w:pPr>
    <w:rPr>
      <w:b/>
    </w:rPr>
  </w:style>
  <w:style w:type="paragraph" w:customStyle="1" w:styleId="Footprint12b">
    <w:name w:val="Footprint12b"/>
    <w:basedOn w:val="Normal"/>
    <w:rsid w:val="0013009E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3009E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3009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3009E"/>
    <w:rPr>
      <w:sz w:val="24"/>
      <w:lang w:val="hr-HR"/>
    </w:rPr>
  </w:style>
  <w:style w:type="paragraph" w:customStyle="1" w:styleId="Normal12a">
    <w:name w:val="Normal12a"/>
    <w:basedOn w:val="Normal"/>
    <w:rsid w:val="0013009E"/>
    <w:pPr>
      <w:spacing w:after="240"/>
    </w:pPr>
  </w:style>
  <w:style w:type="paragraph" w:customStyle="1" w:styleId="RollCallVotes">
    <w:name w:val="RollCallVotes"/>
    <w:basedOn w:val="Normal"/>
    <w:rsid w:val="0013009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3009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3009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3009E"/>
    <w:pPr>
      <w:spacing w:before="120" w:after="120"/>
    </w:pPr>
    <w:rPr>
      <w:snapToGrid w:val="0"/>
      <w:sz w:val="16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E0224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471/oj" TargetMode="External"/><Relationship Id="rId2" Type="http://schemas.openxmlformats.org/officeDocument/2006/relationships/hyperlink" Target="http://data.europa.eu/eli/C/2025/4418/oj" TargetMode="External"/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2026-04-14T14:49:00Z</dcterms:created>
  <dcterms:modified xsi:type="dcterms:W3CDTF">2026-04-14T14:49:00Z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