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33FB" w14:paraId="28660E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E15D68" w14:textId="103170F8" w:rsidR="00751A4A" w:rsidRPr="000E33FB" w:rsidRDefault="00E65DD1" w:rsidP="0010095E">
            <w:pPr>
              <w:pStyle w:val="EPName"/>
            </w:pPr>
            <w:r w:rsidRPr="000E33FB">
              <w:t>Parlament Europejski</w:t>
            </w:r>
          </w:p>
          <w:p w14:paraId="17C93494" w14:textId="77777777" w:rsidR="00751A4A" w:rsidRPr="000E33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33FB">
              <w:t>2024</w:t>
            </w:r>
            <w:r w:rsidR="00817416" w:rsidRPr="000E33FB">
              <w:t>-202</w:t>
            </w:r>
            <w:r w:rsidRPr="000E33FB">
              <w:t>9</w:t>
            </w:r>
          </w:p>
        </w:tc>
        <w:tc>
          <w:tcPr>
            <w:tcW w:w="2268" w:type="dxa"/>
            <w:shd w:val="clear" w:color="auto" w:fill="auto"/>
          </w:tcPr>
          <w:p w14:paraId="1CF2C46B" w14:textId="77777777" w:rsidR="00751A4A" w:rsidRPr="000E33FB" w:rsidRDefault="00187494" w:rsidP="0010095E">
            <w:pPr>
              <w:pStyle w:val="EPLogo"/>
            </w:pPr>
            <w:r w:rsidRPr="000E33FB">
              <w:rPr>
                <w:noProof/>
                <w:lang w:eastAsia="ja-JP"/>
              </w:rPr>
              <w:drawing>
                <wp:inline distT="0" distB="0" distL="0" distR="0" wp14:anchorId="532BDA6D" wp14:editId="546774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4BA3C1" w14:textId="77777777" w:rsidR="00D058B8" w:rsidRPr="000E33FB" w:rsidRDefault="00D058B8" w:rsidP="004C5D52">
      <w:pPr>
        <w:pStyle w:val="LineTop"/>
      </w:pPr>
    </w:p>
    <w:p w14:paraId="66D61394" w14:textId="28B195AC" w:rsidR="00680577" w:rsidRPr="000E33FB" w:rsidRDefault="00E65DD1" w:rsidP="00680577">
      <w:pPr>
        <w:pStyle w:val="EPBodyTA1"/>
      </w:pPr>
      <w:r w:rsidRPr="000E33FB">
        <w:t>TEKSTY PRZYJĘTE</w:t>
      </w:r>
    </w:p>
    <w:p w14:paraId="3DBA0755" w14:textId="77777777" w:rsidR="00D058B8" w:rsidRPr="000E33FB" w:rsidRDefault="00D058B8" w:rsidP="00D058B8">
      <w:pPr>
        <w:pStyle w:val="LineBottom"/>
      </w:pPr>
    </w:p>
    <w:p w14:paraId="520A4A65" w14:textId="72D1144A" w:rsidR="00E65DD1" w:rsidRPr="000E33FB" w:rsidRDefault="00E65DD1" w:rsidP="00E65DD1">
      <w:pPr>
        <w:pStyle w:val="ATHeading1"/>
      </w:pPr>
      <w:bookmarkStart w:id="0" w:name="TANumber"/>
      <w:r w:rsidRPr="000E33FB">
        <w:t>P10_TA(2026)00</w:t>
      </w:r>
      <w:bookmarkEnd w:id="0"/>
      <w:r w:rsidR="00D500C9" w:rsidRPr="000E33FB">
        <w:t>28</w:t>
      </w:r>
    </w:p>
    <w:p w14:paraId="3B8DB52A" w14:textId="116C6906" w:rsidR="00E65DD1" w:rsidRPr="000E33FB" w:rsidRDefault="00E65DD1" w:rsidP="00E65DD1">
      <w:pPr>
        <w:pStyle w:val="ATHeading2"/>
      </w:pPr>
      <w:bookmarkStart w:id="1" w:name="title"/>
      <w:r w:rsidRPr="000E33FB">
        <w:t>Zmiana rozporządzeń dotyczących produktów rolnych w odniesieniu do zasad rynkowych i środków</w:t>
      </w:r>
      <w:r w:rsidR="00895795" w:rsidRPr="000E33FB">
        <w:t xml:space="preserve"> </w:t>
      </w:r>
      <w:r w:rsidRPr="000E33FB">
        <w:t>wsparcia sektorowego w sektorze wina i w odniesieniu do aromatyzowanych produktów sektora wina</w:t>
      </w:r>
      <w:bookmarkEnd w:id="1"/>
    </w:p>
    <w:p w14:paraId="6F7A7928" w14:textId="77777777" w:rsidR="00E65DD1" w:rsidRPr="000E33FB" w:rsidRDefault="00E65DD1" w:rsidP="00E65DD1">
      <w:pPr>
        <w:rPr>
          <w:i/>
          <w:vanish/>
        </w:rPr>
      </w:pPr>
      <w:r w:rsidRPr="000E33FB">
        <w:rPr>
          <w:i/>
        </w:rPr>
        <w:fldChar w:fldCharType="begin"/>
      </w:r>
      <w:r w:rsidRPr="000E33FB">
        <w:rPr>
          <w:i/>
        </w:rPr>
        <w:instrText xml:space="preserve"> TC"(</w:instrText>
      </w:r>
      <w:bookmarkStart w:id="2" w:name="DocNumber"/>
      <w:r w:rsidRPr="000E33FB">
        <w:rPr>
          <w:i/>
        </w:rPr>
        <w:instrText>A10-0220/2025</w:instrText>
      </w:r>
      <w:bookmarkEnd w:id="2"/>
      <w:r w:rsidRPr="000E33FB">
        <w:rPr>
          <w:i/>
        </w:rPr>
        <w:instrText xml:space="preserve"> - Sprawozdawca: Esther Herranz García)"\l3 \n&gt; \* MERGEFORMAT </w:instrText>
      </w:r>
      <w:r w:rsidRPr="000E33FB">
        <w:rPr>
          <w:i/>
        </w:rPr>
        <w:fldChar w:fldCharType="end"/>
      </w:r>
    </w:p>
    <w:p w14:paraId="06CE30FB" w14:textId="77777777" w:rsidR="00E65DD1" w:rsidRPr="000E33FB" w:rsidRDefault="00E65DD1" w:rsidP="00E65DD1">
      <w:pPr>
        <w:rPr>
          <w:vanish/>
        </w:rPr>
      </w:pPr>
      <w:bookmarkStart w:id="3" w:name="Commission"/>
      <w:r w:rsidRPr="000E33FB">
        <w:rPr>
          <w:vanish/>
        </w:rPr>
        <w:t>Komisja Rolnictwa i Rozwoju Wsi</w:t>
      </w:r>
      <w:bookmarkEnd w:id="3"/>
    </w:p>
    <w:p w14:paraId="03185570" w14:textId="77777777" w:rsidR="00E65DD1" w:rsidRPr="000E33FB" w:rsidRDefault="00E65DD1" w:rsidP="00E65DD1">
      <w:pPr>
        <w:rPr>
          <w:vanish/>
        </w:rPr>
      </w:pPr>
      <w:bookmarkStart w:id="4" w:name="PE"/>
      <w:r w:rsidRPr="000E33FB">
        <w:rPr>
          <w:vanish/>
        </w:rPr>
        <w:t>PE774.316</w:t>
      </w:r>
      <w:bookmarkEnd w:id="4"/>
    </w:p>
    <w:p w14:paraId="50D6A074" w14:textId="6C1F9599" w:rsidR="00E65DD1" w:rsidRPr="000E33FB" w:rsidRDefault="00E65DD1" w:rsidP="00E65DD1">
      <w:pPr>
        <w:pStyle w:val="ATHeading3"/>
      </w:pPr>
      <w:bookmarkStart w:id="5" w:name="Sujet"/>
      <w:r w:rsidRPr="000E33FB">
        <w:t xml:space="preserve">Rezolucja ustawodawcza Parlamentu Europejskiego z dnia </w:t>
      </w:r>
      <w:r w:rsidR="007604EF" w:rsidRPr="000E33FB">
        <w:t>10</w:t>
      </w:r>
      <w:r w:rsidRPr="000E33FB">
        <w:t xml:space="preserve"> </w:t>
      </w:r>
      <w:r w:rsidR="007914C0" w:rsidRPr="000E33FB">
        <w:t xml:space="preserve">lutego </w:t>
      </w:r>
      <w:r w:rsidRPr="000E33FB">
        <w:t>2026 r. w sprawie wniosku dotyczącego rozporządzenia Parlamentu Europejskiego i Rady zmieniającego rozporządzenia (UE) nr 1308/2013, (UE) 2021/2115 i (UE) nr 251/2014 w odniesieniu do niektórych zasad rynkowych i środków wsparcia sektorowego w sektorze wina i w odniesieniu do aromatyzowanych produktów sektora wina</w:t>
      </w:r>
      <w:bookmarkEnd w:id="5"/>
      <w:r w:rsidRPr="000E33FB">
        <w:t xml:space="preserve"> </w:t>
      </w:r>
      <w:bookmarkStart w:id="6" w:name="References"/>
      <w:r w:rsidRPr="000E33FB">
        <w:t>(COM(2025)0137 – C10-0058/2025 – 2025/0071(COD))</w:t>
      </w:r>
      <w:bookmarkEnd w:id="6"/>
    </w:p>
    <w:p w14:paraId="6C1238F3" w14:textId="77777777" w:rsidR="00A1408D" w:rsidRPr="000E33FB" w:rsidRDefault="00A1408D" w:rsidP="00A1408D">
      <w:pPr>
        <w:pStyle w:val="NormalBold"/>
      </w:pPr>
      <w:r w:rsidRPr="000E33FB">
        <w:t>(Zwykła procedura ustawodawcza: pierwsze czytanie)</w:t>
      </w:r>
    </w:p>
    <w:p w14:paraId="121FC089" w14:textId="77777777" w:rsidR="00A1408D" w:rsidRPr="000E33FB" w:rsidRDefault="00A1408D" w:rsidP="00A1408D">
      <w:pPr>
        <w:pStyle w:val="EPComma"/>
      </w:pPr>
      <w:r w:rsidRPr="000E33FB">
        <w:rPr>
          <w:i/>
        </w:rPr>
        <w:t>Parlament Europejski</w:t>
      </w:r>
      <w:r w:rsidRPr="000E33FB">
        <w:t>,</w:t>
      </w:r>
    </w:p>
    <w:p w14:paraId="6729FDCA" w14:textId="77777777" w:rsidR="00A1408D" w:rsidRPr="000E33FB" w:rsidRDefault="00A1408D" w:rsidP="00A1408D">
      <w:pPr>
        <w:pStyle w:val="NormalHanging12a"/>
      </w:pPr>
      <w:r w:rsidRPr="000E33FB">
        <w:t>–</w:t>
      </w:r>
      <w:r w:rsidRPr="000E33FB">
        <w:tab/>
        <w:t>uwzględniając wniosek Komisji przedstawiony Parlamentowi Europejskiemu i Radzie (COM(2025)0137),</w:t>
      </w:r>
    </w:p>
    <w:p w14:paraId="50FA2D29" w14:textId="77777777" w:rsidR="00A1408D" w:rsidRPr="000E33FB" w:rsidRDefault="00A1408D" w:rsidP="00A1408D">
      <w:pPr>
        <w:pStyle w:val="NormalHanging12a"/>
      </w:pPr>
      <w:r w:rsidRPr="000E33FB">
        <w:t>–</w:t>
      </w:r>
      <w:r w:rsidRPr="000E33FB">
        <w:tab/>
        <w:t>uwzględniając art. 294 ust. 2, art. 42 akapit pierwszy oraz art. 43 ust. 2 Traktatu o funkcjonowaniu Unii Europejskiej, zgodnie z którymi Komisja przedstawiła wniosek Parlamentowi (C10</w:t>
      </w:r>
      <w:r w:rsidRPr="000E33FB">
        <w:noBreakHyphen/>
        <w:t>0058/2025),</w:t>
      </w:r>
    </w:p>
    <w:p w14:paraId="28A3649F" w14:textId="77777777" w:rsidR="00A1408D" w:rsidRPr="000E33FB" w:rsidRDefault="00A1408D" w:rsidP="00A1408D">
      <w:pPr>
        <w:pStyle w:val="NormalHanging12a"/>
      </w:pPr>
      <w:r w:rsidRPr="000E33FB">
        <w:t>–</w:t>
      </w:r>
      <w:r w:rsidRPr="000E33FB">
        <w:tab/>
        <w:t>uwzględniając art. 294 ust. 3 Traktatu o funkcjonowaniu Unii Europejskiej,</w:t>
      </w:r>
    </w:p>
    <w:p w14:paraId="1F5802BA" w14:textId="55417FC7" w:rsidR="00A1408D" w:rsidRPr="000E33FB" w:rsidRDefault="00A1408D" w:rsidP="00A1408D">
      <w:pPr>
        <w:pStyle w:val="NormalHanging12a"/>
      </w:pPr>
      <w:r w:rsidRPr="000E33FB">
        <w:t>–</w:t>
      </w:r>
      <w:r w:rsidRPr="000E33FB">
        <w:tab/>
        <w:t xml:space="preserve">uwzględniając opinię Europejskiego Komitetu Ekonomiczno-Społecznego z dnia </w:t>
      </w:r>
      <w:r w:rsidR="001A60BD">
        <w:t>17</w:t>
      </w:r>
      <w:r w:rsidR="00895795" w:rsidRPr="000E33FB">
        <w:t xml:space="preserve"> </w:t>
      </w:r>
      <w:r w:rsidRPr="000E33FB">
        <w:t>lipca 2025 r.</w:t>
      </w:r>
      <w:r w:rsidRPr="000E33FB">
        <w:rPr>
          <w:rStyle w:val="FootnoteReference"/>
        </w:rPr>
        <w:footnoteReference w:id="1"/>
      </w:r>
      <w:r w:rsidRPr="000E33FB">
        <w:t>,</w:t>
      </w:r>
    </w:p>
    <w:p w14:paraId="0E6D60AE" w14:textId="5C249331" w:rsidR="00A1408D" w:rsidRPr="000E33FB" w:rsidRDefault="00A1408D" w:rsidP="00A1408D">
      <w:pPr>
        <w:pStyle w:val="NormalHanging12a"/>
      </w:pPr>
      <w:r w:rsidRPr="000E33FB">
        <w:t>–</w:t>
      </w:r>
      <w:r w:rsidRPr="000E33FB">
        <w:tab/>
        <w:t xml:space="preserve">uwzględniając opinię Komitetu Regionów z dnia </w:t>
      </w:r>
      <w:r w:rsidR="001A60BD">
        <w:t>2</w:t>
      </w:r>
      <w:r w:rsidRPr="000E33FB">
        <w:t xml:space="preserve"> lipca 2025 r.</w:t>
      </w:r>
      <w:r w:rsidRPr="000E33FB">
        <w:rPr>
          <w:rStyle w:val="FootnoteReference"/>
        </w:rPr>
        <w:footnoteReference w:id="2"/>
      </w:r>
      <w:r w:rsidRPr="000E33FB">
        <w:t>,</w:t>
      </w:r>
    </w:p>
    <w:p w14:paraId="2333C4A7" w14:textId="4AD7B54F" w:rsidR="005C3709" w:rsidRPr="000E33FB" w:rsidRDefault="005C3709" w:rsidP="005C3709">
      <w:pPr>
        <w:pStyle w:val="NormalHanging12a"/>
        <w:widowControl/>
      </w:pPr>
      <w:r w:rsidRPr="000E33FB">
        <w:t>–</w:t>
      </w:r>
      <w:r w:rsidRPr="000E33FB">
        <w:tab/>
      </w:r>
      <w:bookmarkStart w:id="7" w:name="_Hlk208304133"/>
      <w:r w:rsidRPr="000E33FB">
        <w:t xml:space="preserve">uwzględniając wstępne porozumienie zatwierdzone przez komisję przedmiotowo właściwą na podstawie art. 75 ust. 4 Regulaminu oraz przekazane pismem z dnia 16 </w:t>
      </w:r>
      <w:r w:rsidRPr="000E33FB">
        <w:lastRenderedPageBreak/>
        <w:t>grudnia 2025 r. zobowiązanie przedstawiciela Rady do zatwierdzenia stanowiska Parlamentu, zgodnie z art. 294 ust. 4 Traktatu o funkcjonowaniu Unii Europejskiej,</w:t>
      </w:r>
      <w:bookmarkEnd w:id="7"/>
    </w:p>
    <w:p w14:paraId="1522B527" w14:textId="77777777" w:rsidR="00A1408D" w:rsidRPr="000E33FB" w:rsidRDefault="00A1408D" w:rsidP="00A1408D">
      <w:pPr>
        <w:pStyle w:val="NormalHanging12a"/>
      </w:pPr>
      <w:r w:rsidRPr="000E33FB">
        <w:t>–</w:t>
      </w:r>
      <w:r w:rsidRPr="000E33FB">
        <w:tab/>
        <w:t>uwzględniając art. 60 Regulaminu,</w:t>
      </w:r>
    </w:p>
    <w:p w14:paraId="6F8C46A6" w14:textId="77777777" w:rsidR="00A1408D" w:rsidRPr="000E33FB" w:rsidRDefault="00A1408D" w:rsidP="00A1408D">
      <w:pPr>
        <w:pStyle w:val="NormalHanging12a"/>
      </w:pPr>
      <w:r w:rsidRPr="000E33FB">
        <w:t>–</w:t>
      </w:r>
      <w:r w:rsidRPr="000E33FB">
        <w:tab/>
        <w:t>uwzględniając sprawozdanie Komisji Rolnictwa i Rozwoju Wsi (A10-0220/2025),</w:t>
      </w:r>
    </w:p>
    <w:p w14:paraId="737F31F5" w14:textId="77777777" w:rsidR="00A1408D" w:rsidRPr="000E33FB" w:rsidRDefault="00A1408D" w:rsidP="00A1408D">
      <w:pPr>
        <w:pStyle w:val="NormalHanging12a"/>
      </w:pPr>
      <w:r w:rsidRPr="000E33FB">
        <w:t>1.</w:t>
      </w:r>
      <w:r w:rsidRPr="000E33FB">
        <w:tab/>
        <w:t>przyjmuje poniższe stanowisko w pierwszym czytaniu;</w:t>
      </w:r>
    </w:p>
    <w:p w14:paraId="0A249BE6" w14:textId="4DB80D81" w:rsidR="005C3709" w:rsidRPr="000E33FB" w:rsidRDefault="005C3709" w:rsidP="005C3709">
      <w:pPr>
        <w:pStyle w:val="NormalHanging12a"/>
        <w:widowControl/>
      </w:pPr>
      <w:r w:rsidRPr="000E33FB">
        <w:t>2.</w:t>
      </w:r>
      <w:r w:rsidRPr="000E33FB">
        <w:tab/>
      </w:r>
      <w:r w:rsidR="001D7F96" w:rsidRPr="000E33FB">
        <w:t xml:space="preserve">przyjmuje do wiadomości oświadczenie Komisji załączone do niniejszej rezolucji, które zostanie opublikowane w serii C </w:t>
      </w:r>
      <w:r w:rsidR="001D7F96" w:rsidRPr="000E33FB">
        <w:rPr>
          <w:i/>
          <w:iCs/>
        </w:rPr>
        <w:t>Dziennika Urzędowego Unii Europejskiej</w:t>
      </w:r>
      <w:r w:rsidR="001D7F96" w:rsidRPr="000E33FB">
        <w:t>;</w:t>
      </w:r>
    </w:p>
    <w:p w14:paraId="71AC7452" w14:textId="7BBCA6AC" w:rsidR="00A1408D" w:rsidRPr="000E33FB" w:rsidRDefault="001A60BD" w:rsidP="00A1408D">
      <w:pPr>
        <w:pStyle w:val="NormalHanging12a"/>
      </w:pPr>
      <w:r>
        <w:t>3</w:t>
      </w:r>
      <w:r w:rsidR="00A1408D" w:rsidRPr="000E33FB">
        <w:t>.</w:t>
      </w:r>
      <w:r w:rsidR="00A1408D" w:rsidRPr="000E33FB">
        <w:tab/>
        <w:t>zwraca się do Komisji o ponowne przekazanie mu sprawy, jeśli zastąpi ona pierwotny wniosek, wprowadzi w nim istotne zmiany lub planuje ich wprowadzenie;</w:t>
      </w:r>
    </w:p>
    <w:p w14:paraId="2B58BC2E" w14:textId="7F53A35F" w:rsidR="007604EF" w:rsidRPr="000E33FB" w:rsidRDefault="001A60BD" w:rsidP="00A1408D">
      <w:pPr>
        <w:pStyle w:val="NormalHanging12a"/>
        <w:sectPr w:rsidR="007604EF" w:rsidRPr="000E33FB" w:rsidSect="001620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4</w:t>
      </w:r>
      <w:r w:rsidR="00A1408D" w:rsidRPr="000E33FB">
        <w:t>.</w:t>
      </w:r>
      <w:r w:rsidR="00A1408D" w:rsidRPr="000E33FB">
        <w:tab/>
        <w:t>zobowiązuje swoją przewodniczącą do przekazania stanowiska Parlamentu Radzie i Komisji oraz parlamentom narodowym.</w:t>
      </w:r>
    </w:p>
    <w:p w14:paraId="22D6339D" w14:textId="5A3D0E3B" w:rsidR="005C3709" w:rsidRPr="000E33FB" w:rsidRDefault="005C3709" w:rsidP="005C370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E33FB">
        <w:rPr>
          <w:b/>
          <w:bCs/>
          <w:color w:val="000000"/>
        </w:rPr>
        <w:lastRenderedPageBreak/>
        <w:t>P10_TC1-COD(2025)0071</w:t>
      </w:r>
    </w:p>
    <w:p w14:paraId="7E078B81" w14:textId="18729B4D" w:rsidR="005C3709" w:rsidRDefault="005C3709" w:rsidP="005C3709">
      <w:pPr>
        <w:spacing w:before="240"/>
        <w:rPr>
          <w:rFonts w:eastAsia="Aptos"/>
          <w:b/>
          <w:i/>
          <w:kern w:val="2"/>
          <w:szCs w:val="24"/>
          <w:lang w:eastAsia="en-US"/>
          <w14:ligatures w14:val="standardContextual"/>
        </w:rPr>
      </w:pPr>
      <w:r w:rsidRPr="000E33FB">
        <w:rPr>
          <w:b/>
        </w:rPr>
        <w:t>Stanowisko Parlamentu Europejskiego przyjęte w pierwszym czytaniu w dniu 10 lutego 2026 r. w celu przyjęcia rozporządzenia Parlamentu Europejskiego i Rady (UE) 202</w:t>
      </w:r>
      <w:r w:rsidR="00795A51">
        <w:rPr>
          <w:b/>
        </w:rPr>
        <w:t>6</w:t>
      </w:r>
      <w:r w:rsidRPr="000E33FB">
        <w:rPr>
          <w:b/>
        </w:rPr>
        <w:t xml:space="preserve">/... </w:t>
      </w:r>
      <w:r w:rsidR="001D7F96" w:rsidRPr="000E33FB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w sprawie zmiany rozporządzenia (UE) nr 1308/2013, (UE) nr 251/2014 i (UE) 2021/2115 w odniesieniu do niektórych zasad rynkowych i środków wsparcia sektorowego w sektorze wina i w odniesieniu do aromatyzowanych produktów sektora wina </w:t>
      </w:r>
      <w:r w:rsidR="001D7F96" w:rsidRPr="00795A51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oraz zmiany rozporządzenia (UE) 2024/1143 w odniesieniu do niektórych zasad etykietowania napojów spirytusowych</w:t>
      </w:r>
    </w:p>
    <w:p w14:paraId="7D5A1963" w14:textId="77777777" w:rsidR="00795A51" w:rsidRDefault="00795A51" w:rsidP="005C3709">
      <w:pPr>
        <w:spacing w:before="240"/>
        <w:rPr>
          <w:rFonts w:eastAsia="Aptos"/>
          <w:b/>
          <w:i/>
          <w:kern w:val="2"/>
          <w:szCs w:val="24"/>
          <w:lang w:eastAsia="en-US"/>
          <w14:ligatures w14:val="standardContextual"/>
        </w:rPr>
      </w:pPr>
    </w:p>
    <w:p w14:paraId="2C40ACB7" w14:textId="7A416E84" w:rsidR="00795A51" w:rsidRPr="000E33FB" w:rsidRDefault="00795A51" w:rsidP="005C3709">
      <w:pPr>
        <w:spacing w:before="240"/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471</w:t>
      </w:r>
      <w:r>
        <w:rPr>
          <w:i/>
        </w:rPr>
        <w:t>.)</w:t>
      </w:r>
    </w:p>
    <w:p w14:paraId="523B8C07" w14:textId="77777777" w:rsidR="00795A51" w:rsidRDefault="00795A51">
      <w:pPr>
        <w:widowControl/>
        <w:rPr>
          <w:u w:val="single"/>
        </w:rPr>
      </w:pPr>
      <w:r>
        <w:rPr>
          <w:u w:val="single"/>
        </w:rPr>
        <w:br w:type="page"/>
      </w:r>
    </w:p>
    <w:p w14:paraId="2EBF4D08" w14:textId="417C2245" w:rsidR="001D7F96" w:rsidRDefault="001D7F96" w:rsidP="001D7F96">
      <w:pPr>
        <w:pStyle w:val="NormalHanging12a"/>
        <w:widowControl/>
        <w:jc w:val="right"/>
        <w:rPr>
          <w:u w:val="single"/>
        </w:rPr>
      </w:pPr>
      <w:r w:rsidRPr="000E33FB">
        <w:rPr>
          <w:u w:val="single"/>
        </w:rPr>
        <w:lastRenderedPageBreak/>
        <w:t>ZAŁĄCZNIK DO REZOLUCJI USTAWODAWCZEJ</w:t>
      </w:r>
    </w:p>
    <w:p w14:paraId="2F7003AC" w14:textId="77777777" w:rsidR="00316778" w:rsidRPr="000E33FB" w:rsidRDefault="00316778" w:rsidP="001D7F96">
      <w:pPr>
        <w:pStyle w:val="NormalHanging12a"/>
        <w:widowControl/>
        <w:jc w:val="right"/>
        <w:rPr>
          <w:u w:val="single"/>
        </w:rPr>
      </w:pPr>
    </w:p>
    <w:p w14:paraId="2D17CAF0" w14:textId="7DC776D0" w:rsidR="001D7F96" w:rsidRPr="000E33FB" w:rsidRDefault="001D7F96" w:rsidP="001D7F96">
      <w:pPr>
        <w:spacing w:before="120" w:after="120" w:line="360" w:lineRule="auto"/>
        <w:jc w:val="center"/>
        <w:rPr>
          <w:rFonts w:eastAsia="Aptos"/>
          <w:kern w:val="2"/>
          <w:szCs w:val="24"/>
          <w:lang w:eastAsia="en-US"/>
          <w14:ligatures w14:val="standardContextual"/>
        </w:rPr>
      </w:pP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Oświadczenie Komisji z okazji przyjęcia rozporządzenia Parlamentu Europejskiego i </w:t>
      </w:r>
      <w:proofErr w:type="gramStart"/>
      <w:r w:rsidRPr="000E33FB">
        <w:rPr>
          <w:rFonts w:eastAsia="Aptos"/>
          <w:kern w:val="2"/>
          <w:szCs w:val="24"/>
          <w:lang w:eastAsia="en-US"/>
          <w14:ligatures w14:val="standardContextual"/>
        </w:rPr>
        <w:t>Rady(</w:t>
      </w:r>
      <w:proofErr w:type="gramEnd"/>
      <w:r w:rsidRPr="000E33FB">
        <w:rPr>
          <w:rFonts w:eastAsia="Aptos"/>
          <w:kern w:val="2"/>
          <w:szCs w:val="24"/>
          <w:lang w:eastAsia="en-US"/>
          <w14:ligatures w14:val="standardContextual"/>
        </w:rPr>
        <w:t>UE) 2026</w:t>
      </w:r>
      <w:r w:rsidR="00795A51">
        <w:rPr>
          <w:rFonts w:eastAsia="Aptos"/>
          <w:kern w:val="2"/>
          <w:szCs w:val="24"/>
          <w:lang w:eastAsia="en-US"/>
          <w14:ligatures w14:val="standardContextual"/>
        </w:rPr>
        <w:t xml:space="preserve">/471 </w:t>
      </w: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z dnia </w:t>
      </w:r>
      <w:r w:rsidR="00795A51">
        <w:rPr>
          <w:rFonts w:eastAsia="Aptos"/>
          <w:kern w:val="2"/>
          <w:szCs w:val="24"/>
          <w:lang w:eastAsia="en-US"/>
          <w14:ligatures w14:val="standardContextual"/>
        </w:rPr>
        <w:t xml:space="preserve">24 lutego </w:t>
      </w:r>
      <w:r w:rsidRPr="000E33FB">
        <w:rPr>
          <w:rFonts w:eastAsia="Aptos"/>
          <w:kern w:val="2"/>
          <w:szCs w:val="24"/>
          <w:lang w:eastAsia="en-US"/>
          <w14:ligatures w14:val="standardContextual"/>
        </w:rPr>
        <w:t>2026 r.</w:t>
      </w:r>
      <w:r w:rsidR="00795A51">
        <w:rPr>
          <w:rStyle w:val="FootnoteReference"/>
          <w:rFonts w:eastAsia="Aptos"/>
          <w:kern w:val="2"/>
          <w:szCs w:val="24"/>
          <w:lang w:eastAsia="en-US"/>
          <w14:ligatures w14:val="standardContextual"/>
        </w:rPr>
        <w:footnoteReference w:id="3"/>
      </w: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 w sprawie zmiany rozporządzenia (UE) nr 1308/2013, (UE) nr 251/2014 i (UE) 2021/2115 w odniesieniu do niektórych zasad rynkowych i środków wsparcia sektorowego w sektorze wina i w odniesieniu do aromatyzowanych produktów sektora wina oraz zmiany rozporządzenia (UE) 2024/1143 w odniesieniu do niektórych zasad etykietowania napojów spirytusowych</w:t>
      </w:r>
    </w:p>
    <w:p w14:paraId="64A8B2DD" w14:textId="77777777" w:rsidR="001D7F96" w:rsidRPr="000E33FB" w:rsidRDefault="001D7F96" w:rsidP="001D7F96">
      <w:pPr>
        <w:widowControl/>
        <w:spacing w:before="120" w:after="120" w:line="360" w:lineRule="auto"/>
        <w:rPr>
          <w:rFonts w:eastAsia="Aptos"/>
          <w:kern w:val="2"/>
          <w:szCs w:val="24"/>
          <w:lang w:eastAsia="en-US"/>
          <w14:ligatures w14:val="standardContextual"/>
        </w:rPr>
      </w:pP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Komisja dołoży wszelkich starań, aby w 2026 r. przedstawić odpowiedniej grupie ekspertów lub odpowiedniemu komitetowi: </w:t>
      </w:r>
    </w:p>
    <w:p w14:paraId="34AB1B29" w14:textId="77777777" w:rsidR="001D7F96" w:rsidRPr="000E33FB" w:rsidRDefault="001D7F96" w:rsidP="001D7F96">
      <w:pPr>
        <w:widowControl/>
        <w:numPr>
          <w:ilvl w:val="0"/>
          <w:numId w:val="45"/>
        </w:numPr>
        <w:spacing w:before="120" w:after="120" w:line="360" w:lineRule="auto"/>
        <w:ind w:left="851" w:hanging="851"/>
        <w:rPr>
          <w:rFonts w:eastAsia="Aptos"/>
          <w:kern w:val="2"/>
          <w:szCs w:val="24"/>
          <w:lang w:eastAsia="en-US"/>
          <w14:ligatures w14:val="standardContextual"/>
        </w:rPr>
      </w:pP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projekt aktu wykonawczego zmieniającego rozporządzenie (UE) 2018/274 w odniesieniu do możliwości przedłużenia stosowania </w:t>
      </w:r>
      <w:r w:rsidRPr="000E33FB">
        <w:rPr>
          <w:rFonts w:eastAsia="Aptos"/>
          <w:b/>
          <w:kern w:val="2"/>
          <w:szCs w:val="24"/>
          <w:lang w:eastAsia="en-US"/>
          <w14:ligatures w14:val="standardContextual"/>
        </w:rPr>
        <w:t>uproszczonej procedury udzielania zezwoleń na ponowne sadzenie</w:t>
      </w: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 określonej w art. 9 tego rozporządzenia;</w:t>
      </w:r>
    </w:p>
    <w:p w14:paraId="233DCF29" w14:textId="77777777" w:rsidR="001D7F96" w:rsidRPr="000E33FB" w:rsidRDefault="001D7F96" w:rsidP="001D7F96">
      <w:pPr>
        <w:widowControl/>
        <w:numPr>
          <w:ilvl w:val="0"/>
          <w:numId w:val="45"/>
        </w:numPr>
        <w:spacing w:before="120" w:after="120" w:line="360" w:lineRule="auto"/>
        <w:ind w:left="851" w:hanging="851"/>
        <w:rPr>
          <w:rFonts w:eastAsia="Aptos"/>
          <w:kern w:val="2"/>
          <w:szCs w:val="24"/>
          <w:lang w:eastAsia="en-US"/>
          <w14:ligatures w14:val="standardContextual"/>
        </w:rPr>
      </w:pP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projekt zmiany rozporządzenia delegowanego Komisji (UE) 2019/33 w celu określenia unijnego systemu identyfikacji na opakowaniu lub etykiecie produktów sektora wina </w:t>
      </w:r>
      <w:r w:rsidRPr="000E33FB">
        <w:rPr>
          <w:rFonts w:eastAsia="Aptos"/>
          <w:b/>
          <w:kern w:val="2"/>
          <w:szCs w:val="24"/>
          <w:lang w:eastAsia="en-US"/>
          <w14:ligatures w14:val="standardContextual"/>
        </w:rPr>
        <w:t>za pomocą środków elektronicznych</w:t>
      </w:r>
      <w:r w:rsidRPr="000E33FB">
        <w:rPr>
          <w:rFonts w:eastAsia="Aptos"/>
          <w:kern w:val="2"/>
          <w:szCs w:val="24"/>
          <w:lang w:eastAsia="en-US"/>
          <w14:ligatures w14:val="standardContextual"/>
        </w:rPr>
        <w:t>, o których mowa w art. 119 ust. 4 i 5 rozporządzenia (UE) nr 1308/2013;</w:t>
      </w:r>
    </w:p>
    <w:p w14:paraId="15411484" w14:textId="77777777" w:rsidR="001D7F96" w:rsidRPr="000E33FB" w:rsidRDefault="001D7F96" w:rsidP="001D7F96">
      <w:pPr>
        <w:widowControl/>
        <w:numPr>
          <w:ilvl w:val="0"/>
          <w:numId w:val="45"/>
        </w:numPr>
        <w:spacing w:before="120" w:after="120" w:line="360" w:lineRule="auto"/>
        <w:ind w:left="851" w:hanging="851"/>
        <w:rPr>
          <w:rFonts w:eastAsia="Aptos"/>
          <w:kern w:val="2"/>
          <w:szCs w:val="24"/>
          <w:lang w:eastAsia="en-US"/>
          <w14:ligatures w14:val="standardContextual"/>
        </w:rPr>
      </w:pP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projekt zmiany rozporządzenia delegowanego Komisji (UE) 2019/934 w celu włączenia do </w:t>
      </w:r>
      <w:r w:rsidRPr="000E33FB">
        <w:rPr>
          <w:rFonts w:eastAsia="Aptos"/>
          <w:b/>
          <w:kern w:val="2"/>
          <w:szCs w:val="24"/>
          <w:lang w:eastAsia="en-US"/>
          <w14:ligatures w14:val="standardContextual"/>
        </w:rPr>
        <w:t>definicji „kupażowania”</w:t>
      </w:r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 (mieszania) możliwości mieszania win </w:t>
      </w:r>
      <w:proofErr w:type="spellStart"/>
      <w:r w:rsidRPr="000E33FB">
        <w:rPr>
          <w:rFonts w:eastAsia="Aptos"/>
          <w:kern w:val="2"/>
          <w:szCs w:val="24"/>
          <w:lang w:eastAsia="en-US"/>
          <w14:ligatures w14:val="standardContextual"/>
        </w:rPr>
        <w:t>odalkoholizowanych</w:t>
      </w:r>
      <w:proofErr w:type="spellEnd"/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 lub częściowo </w:t>
      </w:r>
      <w:proofErr w:type="spellStart"/>
      <w:r w:rsidRPr="000E33FB">
        <w:rPr>
          <w:rFonts w:eastAsia="Aptos"/>
          <w:kern w:val="2"/>
          <w:szCs w:val="24"/>
          <w:lang w:eastAsia="en-US"/>
          <w14:ligatures w14:val="standardContextual"/>
        </w:rPr>
        <w:t>odalkoholizowanych</w:t>
      </w:r>
      <w:proofErr w:type="spellEnd"/>
      <w:r w:rsidRPr="000E33FB">
        <w:rPr>
          <w:rFonts w:eastAsia="Aptos"/>
          <w:kern w:val="2"/>
          <w:szCs w:val="24"/>
          <w:lang w:eastAsia="en-US"/>
          <w14:ligatures w14:val="standardContextual"/>
        </w:rPr>
        <w:t xml:space="preserve"> z winami niemusującymi w celu produkcji win częściowo </w:t>
      </w:r>
      <w:proofErr w:type="spellStart"/>
      <w:r w:rsidRPr="000E33FB">
        <w:rPr>
          <w:rFonts w:eastAsia="Aptos"/>
          <w:kern w:val="2"/>
          <w:szCs w:val="24"/>
          <w:lang w:eastAsia="en-US"/>
          <w14:ligatures w14:val="standardContextual"/>
        </w:rPr>
        <w:t>odalkoholizowanych</w:t>
      </w:r>
      <w:proofErr w:type="spellEnd"/>
      <w:r w:rsidRPr="000E33FB">
        <w:rPr>
          <w:rFonts w:eastAsia="Aptos"/>
          <w:kern w:val="2"/>
          <w:szCs w:val="24"/>
          <w:lang w:eastAsia="en-US"/>
          <w14:ligatures w14:val="standardContextual"/>
        </w:rPr>
        <w:t>;</w:t>
      </w:r>
    </w:p>
    <w:p w14:paraId="349AAE27" w14:textId="758FB3C9" w:rsidR="001D7F96" w:rsidRPr="005C3709" w:rsidRDefault="001D7F96" w:rsidP="001D7F96">
      <w:pPr>
        <w:pStyle w:val="NormalHanging12a"/>
        <w:spacing w:before="120" w:after="120" w:line="360" w:lineRule="auto"/>
        <w:ind w:left="851" w:hanging="851"/>
      </w:pPr>
      <w:r w:rsidRPr="000E33FB">
        <w:rPr>
          <w:rFonts w:eastAsia="Aptos"/>
          <w:kern w:val="2"/>
          <w:szCs w:val="24"/>
          <w:lang w:eastAsia="en-US"/>
          <w14:ligatures w14:val="standardContextual"/>
        </w:rPr>
        <w:t>4)</w:t>
      </w:r>
      <w:r w:rsidRPr="000E33FB">
        <w:rPr>
          <w:rFonts w:eastAsia="Aptos"/>
          <w:kern w:val="2"/>
          <w:szCs w:val="24"/>
          <w:lang w:eastAsia="en-US"/>
          <w14:ligatures w14:val="standardContextual"/>
        </w:rPr>
        <w:tab/>
        <w:t>projekt aktu delegowanego określającego warunki</w:t>
      </w:r>
      <w:r w:rsidRPr="000E33FB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karczowania opuszczonych winnic</w:t>
      </w:r>
      <w:r w:rsidRPr="000E33FB">
        <w:rPr>
          <w:rFonts w:eastAsia="Aptos"/>
          <w:kern w:val="2"/>
          <w:szCs w:val="24"/>
          <w:lang w:eastAsia="en-US"/>
          <w14:ligatures w14:val="standardContextual"/>
        </w:rPr>
        <w:t>, o którym mowa w nowym art. 62 ust. 6 rozporządzenia (UE) nr 1308/2013.</w:t>
      </w:r>
    </w:p>
    <w:sectPr w:rsidR="001D7F96" w:rsidRPr="005C3709" w:rsidSect="0016208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6B3B9" w14:textId="77777777" w:rsidR="00E65DD1" w:rsidRPr="00162083" w:rsidRDefault="00E65DD1">
      <w:r w:rsidRPr="00162083">
        <w:separator/>
      </w:r>
    </w:p>
  </w:endnote>
  <w:endnote w:type="continuationSeparator" w:id="0">
    <w:p w14:paraId="0A1E37FB" w14:textId="77777777" w:rsidR="00E65DD1" w:rsidRPr="00162083" w:rsidRDefault="00E65DD1">
      <w:r w:rsidRPr="001620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72829" w14:textId="77777777" w:rsidR="00064002" w:rsidRPr="001620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2A701" w14:textId="77777777" w:rsidR="00064002" w:rsidRPr="001620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571F0" w14:textId="77777777" w:rsidR="00064002" w:rsidRPr="001620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9A1D3" w14:textId="77777777" w:rsidR="00E65DD1" w:rsidRPr="00162083" w:rsidRDefault="00E65DD1">
      <w:r w:rsidRPr="00162083">
        <w:separator/>
      </w:r>
    </w:p>
  </w:footnote>
  <w:footnote w:type="continuationSeparator" w:id="0">
    <w:p w14:paraId="27C6499A" w14:textId="77777777" w:rsidR="00E65DD1" w:rsidRPr="00162083" w:rsidRDefault="00E65DD1">
      <w:r w:rsidRPr="00162083">
        <w:continuationSeparator/>
      </w:r>
    </w:p>
  </w:footnote>
  <w:footnote w:id="1">
    <w:p w14:paraId="732D456B" w14:textId="782F42BA" w:rsidR="00A1408D" w:rsidRPr="00B11572" w:rsidRDefault="00A1408D" w:rsidP="00162083">
      <w:pPr>
        <w:pStyle w:val="FootnoteText"/>
        <w:ind w:left="567" w:hanging="567"/>
        <w:rPr>
          <w:sz w:val="24"/>
          <w:szCs w:val="24"/>
          <w:lang w:val="fi-FI"/>
        </w:rPr>
      </w:pPr>
      <w:r w:rsidRPr="00162083">
        <w:rPr>
          <w:rStyle w:val="FootnoteReference"/>
          <w:sz w:val="24"/>
          <w:szCs w:val="24"/>
          <w:lang w:val="pl-PL"/>
        </w:rPr>
        <w:footnoteRef/>
      </w:r>
      <w:r w:rsidR="00162083" w:rsidRPr="00B11572">
        <w:rPr>
          <w:sz w:val="24"/>
          <w:lang w:val="fi-FI"/>
        </w:rPr>
        <w:t xml:space="preserve"> </w:t>
      </w:r>
      <w:r w:rsidR="00162083" w:rsidRPr="00B11572">
        <w:rPr>
          <w:sz w:val="24"/>
          <w:lang w:val="fi-FI"/>
        </w:rPr>
        <w:tab/>
      </w:r>
      <w:proofErr w:type="spellStart"/>
      <w:r w:rsidRPr="00B11572">
        <w:rPr>
          <w:sz w:val="24"/>
          <w:lang w:val="fi-FI"/>
        </w:rPr>
        <w:t>Dz.U</w:t>
      </w:r>
      <w:proofErr w:type="spellEnd"/>
      <w:r w:rsidRPr="00B11572">
        <w:rPr>
          <w:sz w:val="24"/>
          <w:lang w:val="fi-FI"/>
        </w:rPr>
        <w:t>. C, C/202</w:t>
      </w:r>
      <w:r w:rsidR="00895795" w:rsidRPr="00B11572">
        <w:rPr>
          <w:sz w:val="24"/>
          <w:lang w:val="fi-FI"/>
        </w:rPr>
        <w:t>5/5161, 28.10.2025</w:t>
      </w:r>
      <w:r w:rsidRPr="00B11572">
        <w:rPr>
          <w:sz w:val="24"/>
          <w:lang w:val="fi-FI"/>
        </w:rPr>
        <w:t xml:space="preserve">, ELI: </w:t>
      </w:r>
      <w:hyperlink r:id="rId1" w:history="1">
        <w:r w:rsidR="00316778" w:rsidRPr="00A03241">
          <w:rPr>
            <w:rStyle w:val="Hyperlink"/>
            <w:sz w:val="24"/>
            <w:lang w:val="fi-FI"/>
          </w:rPr>
          <w:t>http://data.europa.eu/eli/C/2025/5161/oj</w:t>
        </w:r>
      </w:hyperlink>
      <w:r w:rsidRPr="00B11572">
        <w:rPr>
          <w:sz w:val="24"/>
          <w:lang w:val="fi-FI"/>
        </w:rPr>
        <w:t>.</w:t>
      </w:r>
    </w:p>
  </w:footnote>
  <w:footnote w:id="2">
    <w:p w14:paraId="2ACD03BF" w14:textId="16071B12" w:rsidR="00A1408D" w:rsidRPr="00B11572" w:rsidRDefault="00A1408D" w:rsidP="00162083">
      <w:pPr>
        <w:pStyle w:val="FootnoteText"/>
        <w:ind w:left="567" w:hanging="567"/>
        <w:rPr>
          <w:sz w:val="24"/>
          <w:szCs w:val="24"/>
          <w:lang w:val="fi-FI"/>
        </w:rPr>
      </w:pPr>
      <w:r w:rsidRPr="00162083">
        <w:rPr>
          <w:rStyle w:val="FootnoteReference"/>
          <w:sz w:val="24"/>
          <w:szCs w:val="24"/>
          <w:lang w:val="pl-PL"/>
        </w:rPr>
        <w:footnoteRef/>
      </w:r>
      <w:r w:rsidR="00162083" w:rsidRPr="00B11572">
        <w:rPr>
          <w:sz w:val="24"/>
          <w:lang w:val="fi-FI"/>
        </w:rPr>
        <w:t xml:space="preserve"> </w:t>
      </w:r>
      <w:r w:rsidR="00162083" w:rsidRPr="00B11572">
        <w:rPr>
          <w:sz w:val="24"/>
          <w:lang w:val="fi-FI"/>
        </w:rPr>
        <w:tab/>
      </w:r>
      <w:proofErr w:type="spellStart"/>
      <w:r w:rsidRPr="00B11572">
        <w:rPr>
          <w:sz w:val="24"/>
          <w:lang w:val="fi-FI"/>
        </w:rPr>
        <w:t>Dz.U</w:t>
      </w:r>
      <w:proofErr w:type="spellEnd"/>
      <w:r w:rsidRPr="00B11572">
        <w:rPr>
          <w:sz w:val="24"/>
          <w:lang w:val="fi-FI"/>
        </w:rPr>
        <w:t>. C, C/202</w:t>
      </w:r>
      <w:r w:rsidR="00895795" w:rsidRPr="00B11572">
        <w:rPr>
          <w:sz w:val="24"/>
          <w:lang w:val="fi-FI"/>
        </w:rPr>
        <w:t>5/4418, 29.8.2025</w:t>
      </w:r>
      <w:r w:rsidRPr="00B11572">
        <w:rPr>
          <w:sz w:val="24"/>
          <w:lang w:val="fi-FI"/>
        </w:rPr>
        <w:t xml:space="preserve">, ELI: </w:t>
      </w:r>
      <w:hyperlink r:id="rId2" w:history="1">
        <w:r w:rsidR="00316778" w:rsidRPr="00A03241">
          <w:rPr>
            <w:rStyle w:val="Hyperlink"/>
            <w:sz w:val="24"/>
            <w:lang w:val="fi-FI"/>
          </w:rPr>
          <w:t>http://data.europa.eu/eli/C/2025/4418/oj</w:t>
        </w:r>
      </w:hyperlink>
      <w:r w:rsidRPr="00B11572">
        <w:rPr>
          <w:sz w:val="24"/>
          <w:lang w:val="fi-FI"/>
        </w:rPr>
        <w:t>.</w:t>
      </w:r>
    </w:p>
  </w:footnote>
  <w:footnote w:id="3">
    <w:p w14:paraId="6825FDC6" w14:textId="3432022D" w:rsidR="00795A51" w:rsidRPr="00795A51" w:rsidRDefault="00795A51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795A51">
        <w:rPr>
          <w:lang w:val="fi-FI"/>
        </w:rPr>
        <w:t xml:space="preserve"> </w:t>
      </w:r>
      <w:r w:rsidRPr="00795A51">
        <w:rPr>
          <w:lang w:val="fi-FI"/>
        </w:rPr>
        <w:tab/>
      </w:r>
      <w:r>
        <w:rPr>
          <w:lang w:val="fi-FI"/>
        </w:rPr>
        <w:t>Dz.U.</w:t>
      </w:r>
      <w:r w:rsidRPr="00795A51">
        <w:rPr>
          <w:lang w:val="fi-FI"/>
        </w:rPr>
        <w:t xml:space="preserve"> L, 2026/471, 26.2.2026, ELI: </w:t>
      </w:r>
      <w:hyperlink r:id="rId3" w:history="1">
        <w:r w:rsidRPr="00972E1A">
          <w:rPr>
            <w:rStyle w:val="Hyperlink"/>
            <w:lang w:val="fi-FI"/>
          </w:rPr>
          <w:t>http://data.europa.eu/eli/reg/2026/471/oj</w:t>
        </w:r>
      </w:hyperlink>
      <w:r>
        <w:rPr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E38D" w14:textId="77777777" w:rsidR="00064002" w:rsidRPr="001620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FEB6" w14:textId="77777777" w:rsidR="00064002" w:rsidRPr="001620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7B3F" w14:textId="77777777" w:rsidR="00064002" w:rsidRPr="001620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47D7F45"/>
    <w:multiLevelType w:val="hybridMultilevel"/>
    <w:tmpl w:val="A8660194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923026">
    <w:abstractNumId w:val="9"/>
  </w:num>
  <w:num w:numId="2" w16cid:durableId="1613247476">
    <w:abstractNumId w:val="9"/>
  </w:num>
  <w:num w:numId="3" w16cid:durableId="1751808525">
    <w:abstractNumId w:val="7"/>
  </w:num>
  <w:num w:numId="4" w16cid:durableId="534582420">
    <w:abstractNumId w:val="7"/>
  </w:num>
  <w:num w:numId="5" w16cid:durableId="1903104689">
    <w:abstractNumId w:val="6"/>
  </w:num>
  <w:num w:numId="6" w16cid:durableId="858547890">
    <w:abstractNumId w:val="6"/>
  </w:num>
  <w:num w:numId="7" w16cid:durableId="1147749211">
    <w:abstractNumId w:val="5"/>
  </w:num>
  <w:num w:numId="8" w16cid:durableId="1753041493">
    <w:abstractNumId w:val="5"/>
  </w:num>
  <w:num w:numId="9" w16cid:durableId="824930616">
    <w:abstractNumId w:val="4"/>
  </w:num>
  <w:num w:numId="10" w16cid:durableId="1809593059">
    <w:abstractNumId w:val="4"/>
  </w:num>
  <w:num w:numId="11" w16cid:durableId="294876687">
    <w:abstractNumId w:val="8"/>
  </w:num>
  <w:num w:numId="12" w16cid:durableId="578949331">
    <w:abstractNumId w:val="8"/>
  </w:num>
  <w:num w:numId="13" w16cid:durableId="219361943">
    <w:abstractNumId w:val="3"/>
  </w:num>
  <w:num w:numId="14" w16cid:durableId="837815970">
    <w:abstractNumId w:val="3"/>
  </w:num>
  <w:num w:numId="15" w16cid:durableId="1881941452">
    <w:abstractNumId w:val="2"/>
  </w:num>
  <w:num w:numId="16" w16cid:durableId="2054042392">
    <w:abstractNumId w:val="2"/>
  </w:num>
  <w:num w:numId="17" w16cid:durableId="338122311">
    <w:abstractNumId w:val="1"/>
  </w:num>
  <w:num w:numId="18" w16cid:durableId="1576016637">
    <w:abstractNumId w:val="1"/>
  </w:num>
  <w:num w:numId="19" w16cid:durableId="917208571">
    <w:abstractNumId w:val="0"/>
  </w:num>
  <w:num w:numId="20" w16cid:durableId="1638990894">
    <w:abstractNumId w:val="0"/>
  </w:num>
  <w:num w:numId="21" w16cid:durableId="2059628369">
    <w:abstractNumId w:val="9"/>
  </w:num>
  <w:num w:numId="22" w16cid:durableId="604580084">
    <w:abstractNumId w:val="7"/>
  </w:num>
  <w:num w:numId="23" w16cid:durableId="850334307">
    <w:abstractNumId w:val="6"/>
  </w:num>
  <w:num w:numId="24" w16cid:durableId="1427729816">
    <w:abstractNumId w:val="5"/>
  </w:num>
  <w:num w:numId="25" w16cid:durableId="1912078690">
    <w:abstractNumId w:val="4"/>
  </w:num>
  <w:num w:numId="26" w16cid:durableId="2074548548">
    <w:abstractNumId w:val="8"/>
  </w:num>
  <w:num w:numId="27" w16cid:durableId="1956054364">
    <w:abstractNumId w:val="3"/>
  </w:num>
  <w:num w:numId="28" w16cid:durableId="41832607">
    <w:abstractNumId w:val="2"/>
  </w:num>
  <w:num w:numId="29" w16cid:durableId="985162694">
    <w:abstractNumId w:val="1"/>
  </w:num>
  <w:num w:numId="30" w16cid:durableId="2107192223">
    <w:abstractNumId w:val="0"/>
  </w:num>
  <w:num w:numId="31" w16cid:durableId="1982225460">
    <w:abstractNumId w:val="9"/>
  </w:num>
  <w:num w:numId="32" w16cid:durableId="1968193061">
    <w:abstractNumId w:val="7"/>
  </w:num>
  <w:num w:numId="33" w16cid:durableId="1947812583">
    <w:abstractNumId w:val="6"/>
  </w:num>
  <w:num w:numId="34" w16cid:durableId="1733430681">
    <w:abstractNumId w:val="5"/>
  </w:num>
  <w:num w:numId="35" w16cid:durableId="1552569667">
    <w:abstractNumId w:val="4"/>
  </w:num>
  <w:num w:numId="36" w16cid:durableId="905453688">
    <w:abstractNumId w:val="8"/>
  </w:num>
  <w:num w:numId="37" w16cid:durableId="1655795628">
    <w:abstractNumId w:val="3"/>
  </w:num>
  <w:num w:numId="38" w16cid:durableId="625359009">
    <w:abstractNumId w:val="2"/>
  </w:num>
  <w:num w:numId="39" w16cid:durableId="1057437497">
    <w:abstractNumId w:val="1"/>
  </w:num>
  <w:num w:numId="40" w16cid:durableId="161045839">
    <w:abstractNumId w:val="0"/>
  </w:num>
  <w:num w:numId="41" w16cid:durableId="1225290970">
    <w:abstractNumId w:val="10"/>
  </w:num>
  <w:num w:numId="42" w16cid:durableId="1210730047">
    <w:abstractNumId w:val="10"/>
  </w:num>
  <w:num w:numId="43" w16cid:durableId="1288388948">
    <w:abstractNumId w:val="10"/>
  </w:num>
  <w:num w:numId="44" w16cid:durableId="1175876899">
    <w:abstractNumId w:val="11"/>
  </w:num>
  <w:num w:numId="45" w16cid:durableId="886338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PL"/>
    <w:docVar w:name="dvnumam" w:val="0"/>
    <w:docVar w:name="dvpe" w:val="774.316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zmieniającego rozporządzenia (UE) nr 1308/2013, (UE) 2021/2115 i (UE) nr 251/2014 w odniesieniu do niektórych zasad rynkowych i środków wsparcia sektorowego w sektorze wina i w odniesieniu do aromatyzowanych produktów sektora wina(COM(2025)0137 – C10-0058/2025 – 2025/0071(COD))"/>
  </w:docVars>
  <w:rsids>
    <w:rsidRoot w:val="00E65DD1"/>
    <w:rsid w:val="00002272"/>
    <w:rsid w:val="00064002"/>
    <w:rsid w:val="000677B9"/>
    <w:rsid w:val="000831BA"/>
    <w:rsid w:val="000A42CC"/>
    <w:rsid w:val="000E33FB"/>
    <w:rsid w:val="000E7DD9"/>
    <w:rsid w:val="0010095E"/>
    <w:rsid w:val="00125B37"/>
    <w:rsid w:val="00162083"/>
    <w:rsid w:val="00186761"/>
    <w:rsid w:val="00187494"/>
    <w:rsid w:val="001A60BD"/>
    <w:rsid w:val="001D7F96"/>
    <w:rsid w:val="001F32AE"/>
    <w:rsid w:val="002767FF"/>
    <w:rsid w:val="002B18FE"/>
    <w:rsid w:val="002B5493"/>
    <w:rsid w:val="00316778"/>
    <w:rsid w:val="00343214"/>
    <w:rsid w:val="00361C00"/>
    <w:rsid w:val="00395FA1"/>
    <w:rsid w:val="003D210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78D"/>
    <w:rsid w:val="005C2568"/>
    <w:rsid w:val="005C370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4EF"/>
    <w:rsid w:val="00762C74"/>
    <w:rsid w:val="00786EC0"/>
    <w:rsid w:val="007914C0"/>
    <w:rsid w:val="00795A51"/>
    <w:rsid w:val="007D1690"/>
    <w:rsid w:val="007E22AD"/>
    <w:rsid w:val="007F3B58"/>
    <w:rsid w:val="00817416"/>
    <w:rsid w:val="00842779"/>
    <w:rsid w:val="00865F67"/>
    <w:rsid w:val="00881A7B"/>
    <w:rsid w:val="008840E5"/>
    <w:rsid w:val="00887B3E"/>
    <w:rsid w:val="00895795"/>
    <w:rsid w:val="008C2AC6"/>
    <w:rsid w:val="00927E33"/>
    <w:rsid w:val="00930C23"/>
    <w:rsid w:val="0093193B"/>
    <w:rsid w:val="009509D8"/>
    <w:rsid w:val="00950B64"/>
    <w:rsid w:val="00981893"/>
    <w:rsid w:val="00A1408D"/>
    <w:rsid w:val="00A1687D"/>
    <w:rsid w:val="00A43E52"/>
    <w:rsid w:val="00A4678D"/>
    <w:rsid w:val="00A778C7"/>
    <w:rsid w:val="00AB441E"/>
    <w:rsid w:val="00AB6293"/>
    <w:rsid w:val="00AE0928"/>
    <w:rsid w:val="00AE4B39"/>
    <w:rsid w:val="00AF3B82"/>
    <w:rsid w:val="00B11572"/>
    <w:rsid w:val="00B12E95"/>
    <w:rsid w:val="00B22876"/>
    <w:rsid w:val="00B331A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0C9"/>
    <w:rsid w:val="00D56C11"/>
    <w:rsid w:val="00D834A0"/>
    <w:rsid w:val="00D872DF"/>
    <w:rsid w:val="00D91E21"/>
    <w:rsid w:val="00DA03C6"/>
    <w:rsid w:val="00DA7FCD"/>
    <w:rsid w:val="00E365E1"/>
    <w:rsid w:val="00E65DD1"/>
    <w:rsid w:val="00E820A4"/>
    <w:rsid w:val="00EB006A"/>
    <w:rsid w:val="00EB4772"/>
    <w:rsid w:val="00EB787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43B07"/>
  <w15:chartTrackingRefBased/>
  <w15:docId w15:val="{D6FCC880-9189-43FD-9C66-BD68A0EC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1408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1408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1408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1408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1408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1408D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A1408D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A1408D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A1408D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A1408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1408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1408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1408D"/>
    <w:pPr>
      <w:spacing w:after="120"/>
    </w:pPr>
  </w:style>
  <w:style w:type="paragraph" w:customStyle="1" w:styleId="PageHeading">
    <w:name w:val="PageHeading"/>
    <w:basedOn w:val="Normal"/>
    <w:rsid w:val="00A1408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1408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1408D"/>
    <w:rPr>
      <w:b/>
      <w:sz w:val="24"/>
      <w:lang w:val="pl-PL"/>
    </w:rPr>
  </w:style>
  <w:style w:type="paragraph" w:customStyle="1" w:styleId="NormalBold12a">
    <w:name w:val="NormalBold12a"/>
    <w:basedOn w:val="Normal"/>
    <w:rsid w:val="00A1408D"/>
    <w:pPr>
      <w:spacing w:after="240"/>
    </w:pPr>
    <w:rPr>
      <w:b/>
    </w:rPr>
  </w:style>
  <w:style w:type="paragraph" w:customStyle="1" w:styleId="AmJustText">
    <w:name w:val="AmJustText"/>
    <w:basedOn w:val="Normal"/>
    <w:rsid w:val="00A1408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1408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1408D"/>
    <w:pPr>
      <w:spacing w:after="480"/>
      <w:ind w:left="1417"/>
    </w:pPr>
  </w:style>
  <w:style w:type="paragraph" w:customStyle="1" w:styleId="CoverNormal">
    <w:name w:val="CoverNormal"/>
    <w:basedOn w:val="Normal"/>
    <w:rsid w:val="00A1408D"/>
    <w:pPr>
      <w:ind w:left="1418"/>
    </w:pPr>
  </w:style>
  <w:style w:type="paragraph" w:customStyle="1" w:styleId="AmCrossRef">
    <w:name w:val="AmCrossRef"/>
    <w:basedOn w:val="Normal"/>
    <w:rsid w:val="00A1408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1408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1408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1408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1408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1408D"/>
    <w:pPr>
      <w:spacing w:before="240" w:after="1200"/>
    </w:pPr>
  </w:style>
  <w:style w:type="paragraph" w:styleId="Header">
    <w:name w:val="header"/>
    <w:basedOn w:val="Normal"/>
    <w:link w:val="HeaderChar"/>
    <w:rsid w:val="00A140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1408D"/>
    <w:rPr>
      <w:sz w:val="24"/>
      <w:lang w:val="pl-PL"/>
    </w:rPr>
  </w:style>
  <w:style w:type="paragraph" w:customStyle="1" w:styleId="AmOrLang">
    <w:name w:val="AmOrLang"/>
    <w:basedOn w:val="Normal"/>
    <w:rsid w:val="00A1408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1408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140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1408D"/>
    <w:pPr>
      <w:spacing w:before="240"/>
    </w:pPr>
    <w:rPr>
      <w:b/>
    </w:rPr>
  </w:style>
  <w:style w:type="paragraph" w:customStyle="1" w:styleId="EPBody">
    <w:name w:val="EPBody"/>
    <w:basedOn w:val="Normal"/>
    <w:rsid w:val="00A1408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1408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1408D"/>
    <w:pPr>
      <w:spacing w:before="480" w:after="240"/>
    </w:pPr>
  </w:style>
  <w:style w:type="paragraph" w:customStyle="1" w:styleId="Lgendesigne">
    <w:name w:val="Légende signe"/>
    <w:basedOn w:val="Normal"/>
    <w:rsid w:val="00A1408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1408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1408D"/>
    <w:rPr>
      <w:sz w:val="18"/>
    </w:rPr>
  </w:style>
  <w:style w:type="character" w:customStyle="1" w:styleId="FooterChar">
    <w:name w:val="Footer Char"/>
    <w:basedOn w:val="DefaultParagraphFont"/>
    <w:link w:val="Footer"/>
    <w:rsid w:val="00A1408D"/>
    <w:rPr>
      <w:sz w:val="22"/>
    </w:rPr>
  </w:style>
  <w:style w:type="paragraph" w:styleId="Footer">
    <w:name w:val="footer"/>
    <w:link w:val="FooterChar"/>
    <w:unhideWhenUsed/>
    <w:rsid w:val="00A1408D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A1408D"/>
    <w:rPr>
      <w:sz w:val="24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A1408D"/>
    <w:rPr>
      <w:noProof/>
      <w:sz w:val="24"/>
    </w:rPr>
  </w:style>
  <w:style w:type="paragraph" w:customStyle="1" w:styleId="Normal12">
    <w:name w:val="Normal12"/>
    <w:basedOn w:val="Normal"/>
    <w:link w:val="Normal12Char"/>
    <w:rsid w:val="00A1408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1408D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A1408D"/>
    <w:pPr>
      <w:spacing w:after="120"/>
    </w:pPr>
  </w:style>
  <w:style w:type="paragraph" w:customStyle="1" w:styleId="Normal12Italic">
    <w:name w:val="Normal12Italic"/>
    <w:basedOn w:val="Normal12"/>
    <w:rsid w:val="00A1408D"/>
    <w:rPr>
      <w:i/>
    </w:rPr>
  </w:style>
  <w:style w:type="paragraph" w:customStyle="1" w:styleId="Footer2">
    <w:name w:val="Footer2"/>
    <w:basedOn w:val="Normal12"/>
    <w:rsid w:val="00A1408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1408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140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1408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1408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1408D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A1408D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A1408D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A1408D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A140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408D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A140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40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1408D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1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1408D"/>
    <w:rPr>
      <w:b/>
      <w:bCs/>
      <w:lang w:val="pl-PL"/>
    </w:rPr>
  </w:style>
  <w:style w:type="paragraph" w:customStyle="1" w:styleId="Point1">
    <w:name w:val="Point 1"/>
    <w:basedOn w:val="Normal"/>
    <w:rsid w:val="00A1408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A1408D"/>
    <w:rPr>
      <w:i/>
      <w:iCs/>
    </w:rPr>
  </w:style>
  <w:style w:type="paragraph" w:styleId="Revision">
    <w:name w:val="Revision"/>
    <w:hidden/>
    <w:uiPriority w:val="99"/>
    <w:semiHidden/>
    <w:rsid w:val="00A1408D"/>
    <w:rPr>
      <w:sz w:val="24"/>
      <w:lang w:val="pl-PL"/>
    </w:rPr>
  </w:style>
  <w:style w:type="paragraph" w:customStyle="1" w:styleId="Normal12a">
    <w:name w:val="Normal12a"/>
    <w:basedOn w:val="Normal"/>
    <w:rsid w:val="00A1408D"/>
    <w:pPr>
      <w:spacing w:after="240"/>
    </w:pPr>
  </w:style>
  <w:style w:type="paragraph" w:customStyle="1" w:styleId="RollCallVotes">
    <w:name w:val="RollCallVotes"/>
    <w:basedOn w:val="Normal"/>
    <w:rsid w:val="00A1408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1408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1408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1408D"/>
    <w:pPr>
      <w:spacing w:before="120" w:after="120"/>
    </w:pPr>
    <w:rPr>
      <w:snapToGrid w:val="0"/>
      <w:sz w:val="16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1D7F96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1D7F9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572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2026-04-15T09:02:00Z</dcterms:created>
  <dcterms:modified xsi:type="dcterms:W3CDTF">2026-04-15T09:02:00Z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