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D0BB8" w14:paraId="3A14D50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24C16E7" w14:textId="77777777" w:rsidR="00751A4A" w:rsidRPr="00ED0BB8" w:rsidRDefault="00BA1B65" w:rsidP="0010095E">
            <w:pPr>
              <w:pStyle w:val="EPName"/>
            </w:pPr>
            <w:r w:rsidRPr="00ED0BB8">
              <w:t>Parlamento Europeu</w:t>
            </w:r>
          </w:p>
          <w:p w14:paraId="2C177ADB" w14:textId="77777777" w:rsidR="00751A4A" w:rsidRPr="00ED0BB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D0BB8">
              <w:t>2024</w:t>
            </w:r>
            <w:r w:rsidR="00817416" w:rsidRPr="00ED0BB8">
              <w:t>-202</w:t>
            </w:r>
            <w:r w:rsidRPr="00ED0BB8">
              <w:t>9</w:t>
            </w:r>
          </w:p>
        </w:tc>
        <w:tc>
          <w:tcPr>
            <w:tcW w:w="2268" w:type="dxa"/>
            <w:shd w:val="clear" w:color="auto" w:fill="auto"/>
          </w:tcPr>
          <w:p w14:paraId="1BD0F35C" w14:textId="77777777" w:rsidR="00751A4A" w:rsidRPr="00ED0BB8" w:rsidRDefault="00187494" w:rsidP="0010095E">
            <w:pPr>
              <w:pStyle w:val="EPLogo"/>
            </w:pPr>
            <w:r w:rsidRPr="00ED0BB8">
              <w:rPr>
                <w:noProof/>
                <w:lang w:eastAsia="ja-JP"/>
              </w:rPr>
              <w:drawing>
                <wp:inline distT="0" distB="0" distL="0" distR="0" wp14:anchorId="782B7D22" wp14:editId="376C732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C3E629C" w14:textId="77777777" w:rsidR="00D058B8" w:rsidRPr="00ED0BB8" w:rsidRDefault="00D058B8" w:rsidP="004C5D52">
      <w:pPr>
        <w:pStyle w:val="LineTop"/>
      </w:pPr>
    </w:p>
    <w:p w14:paraId="1059E36D" w14:textId="77777777" w:rsidR="00680577" w:rsidRPr="00ED0BB8" w:rsidRDefault="00BA1B65" w:rsidP="00680577">
      <w:pPr>
        <w:pStyle w:val="EPBodyTA1"/>
      </w:pPr>
      <w:r w:rsidRPr="00ED0BB8">
        <w:t>TEXTOS APROVADOS</w:t>
      </w:r>
    </w:p>
    <w:p w14:paraId="63767D86" w14:textId="77777777" w:rsidR="00D058B8" w:rsidRPr="00ED0BB8" w:rsidRDefault="00D058B8" w:rsidP="00D058B8">
      <w:pPr>
        <w:pStyle w:val="LineBottom"/>
      </w:pPr>
    </w:p>
    <w:p w14:paraId="53BA6EF8" w14:textId="6E1D3C59" w:rsidR="00BA1B65" w:rsidRPr="00ED0BB8" w:rsidRDefault="00BA1B65" w:rsidP="00BA1B65">
      <w:pPr>
        <w:pStyle w:val="ATHeading1"/>
      </w:pPr>
      <w:bookmarkStart w:id="0" w:name="TANumber"/>
      <w:r w:rsidRPr="00ED0BB8">
        <w:t>P10_TA(2026)</w:t>
      </w:r>
      <w:bookmarkEnd w:id="0"/>
      <w:r w:rsidR="0079394E" w:rsidRPr="00ED0BB8">
        <w:t>0028</w:t>
      </w:r>
    </w:p>
    <w:p w14:paraId="32401283" w14:textId="0442D143" w:rsidR="00BA1B65" w:rsidRPr="00ED0BB8" w:rsidRDefault="00BA1B65" w:rsidP="00BA1B65">
      <w:pPr>
        <w:pStyle w:val="ATHeading2"/>
      </w:pPr>
      <w:bookmarkStart w:id="1" w:name="title"/>
      <w:r w:rsidRPr="00ED0BB8">
        <w:t xml:space="preserve">Alteração dos regulamentos relativos a produtos agrícolas no respeitante a regras do mercado e medidas de apoio setorial </w:t>
      </w:r>
      <w:r w:rsidR="00217425" w:rsidRPr="00ED0BB8">
        <w:t xml:space="preserve">no setor vitivinícola </w:t>
      </w:r>
      <w:r w:rsidR="00D601CA" w:rsidRPr="00ED0BB8">
        <w:t xml:space="preserve">e aos produtos vitivinícolas </w:t>
      </w:r>
      <w:r w:rsidRPr="00ED0BB8">
        <w:t>aromatizados</w:t>
      </w:r>
      <w:bookmarkEnd w:id="1"/>
    </w:p>
    <w:p w14:paraId="5F12ED13" w14:textId="77777777" w:rsidR="00BA1B65" w:rsidRPr="00ED0BB8" w:rsidRDefault="00BA1B65" w:rsidP="00BA1B65">
      <w:pPr>
        <w:rPr>
          <w:i/>
          <w:vanish/>
        </w:rPr>
      </w:pPr>
      <w:r w:rsidRPr="00ED0BB8">
        <w:rPr>
          <w:i/>
        </w:rPr>
        <w:fldChar w:fldCharType="begin"/>
      </w:r>
      <w:r w:rsidRPr="00ED0BB8">
        <w:rPr>
          <w:i/>
        </w:rPr>
        <w:instrText xml:space="preserve"> TC"(</w:instrText>
      </w:r>
      <w:bookmarkStart w:id="2" w:name="DocNumber"/>
      <w:r w:rsidRPr="00ED0BB8">
        <w:rPr>
          <w:i/>
        </w:rPr>
        <w:instrText>A10-0220/2025</w:instrText>
      </w:r>
      <w:bookmarkEnd w:id="2"/>
      <w:r w:rsidRPr="00ED0BB8">
        <w:rPr>
          <w:i/>
        </w:rPr>
        <w:instrText xml:space="preserve"> - Relatora: Esther Herranz García)"\l3 \n&gt; \* MERGEFORMAT </w:instrText>
      </w:r>
      <w:r w:rsidRPr="00ED0BB8">
        <w:rPr>
          <w:i/>
        </w:rPr>
        <w:fldChar w:fldCharType="end"/>
      </w:r>
    </w:p>
    <w:p w14:paraId="741DE8A9" w14:textId="77777777" w:rsidR="00BA1B65" w:rsidRPr="00ED0BB8" w:rsidRDefault="00BA1B65" w:rsidP="00BA1B65">
      <w:pPr>
        <w:rPr>
          <w:vanish/>
        </w:rPr>
      </w:pPr>
      <w:bookmarkStart w:id="3" w:name="Commission"/>
      <w:r w:rsidRPr="00ED0BB8">
        <w:rPr>
          <w:vanish/>
        </w:rPr>
        <w:t>Comissão da Agricultura e do Desenvolvimento Rural</w:t>
      </w:r>
      <w:bookmarkEnd w:id="3"/>
    </w:p>
    <w:p w14:paraId="3A7397C7" w14:textId="77777777" w:rsidR="00BA1B65" w:rsidRPr="00ED0BB8" w:rsidRDefault="00BA1B65" w:rsidP="00BA1B65">
      <w:pPr>
        <w:rPr>
          <w:vanish/>
        </w:rPr>
      </w:pPr>
      <w:bookmarkStart w:id="4" w:name="PE"/>
      <w:r w:rsidRPr="00ED0BB8">
        <w:rPr>
          <w:vanish/>
        </w:rPr>
        <w:t>PE774.316</w:t>
      </w:r>
      <w:bookmarkEnd w:id="4"/>
    </w:p>
    <w:p w14:paraId="30999495" w14:textId="6DCFCAA4" w:rsidR="00BA1B65" w:rsidRPr="00ED0BB8" w:rsidRDefault="00BA1B65" w:rsidP="00BA1B65">
      <w:pPr>
        <w:pStyle w:val="ATHeading3"/>
      </w:pPr>
      <w:bookmarkStart w:id="5" w:name="Sujet"/>
      <w:r w:rsidRPr="00ED0BB8">
        <w:t xml:space="preserve">Resolução legislativa do Parlamento Europeu, de </w:t>
      </w:r>
      <w:r w:rsidR="00D601CA" w:rsidRPr="00ED0BB8">
        <w:t xml:space="preserve">10 </w:t>
      </w:r>
      <w:r w:rsidRPr="00ED0BB8">
        <w:t xml:space="preserve">de </w:t>
      </w:r>
      <w:r w:rsidR="00D601CA" w:rsidRPr="00ED0BB8">
        <w:t xml:space="preserve">fevereiro </w:t>
      </w:r>
      <w:r w:rsidRPr="00ED0BB8">
        <w:t>de 2026, sobre a proposta de regulamento do Parlamento Europeu e do Conselho que altera os Regulamentos (UE) n.º 1308/2013, (UE) 2021/2115 e (UE) n.º 251/2014 no respeitante a determinadas regras do mercado e medidas de apoio setorial no setor vitivinícola e aos produtos vitivinícolas aromatizados</w:t>
      </w:r>
      <w:bookmarkEnd w:id="5"/>
      <w:r w:rsidRPr="00ED0BB8">
        <w:t xml:space="preserve"> </w:t>
      </w:r>
      <w:bookmarkStart w:id="6" w:name="References"/>
      <w:r w:rsidRPr="00ED0BB8">
        <w:t>(COM(2025)0137 – C10-0058/2025 – 2025/0071(COD))</w:t>
      </w:r>
      <w:bookmarkEnd w:id="6"/>
    </w:p>
    <w:p w14:paraId="22997F92" w14:textId="77777777" w:rsidR="009E6ADD" w:rsidRPr="00ED0BB8" w:rsidRDefault="009E6ADD" w:rsidP="009E6ADD">
      <w:pPr>
        <w:pStyle w:val="NormalBold"/>
      </w:pPr>
      <w:r w:rsidRPr="00ED0BB8">
        <w:t>(Processo legislativo ordinário: primeira leitura)</w:t>
      </w:r>
    </w:p>
    <w:p w14:paraId="75BFB6FD" w14:textId="77777777" w:rsidR="009E6ADD" w:rsidRPr="00ED0BB8" w:rsidRDefault="009E6ADD" w:rsidP="009E6ADD">
      <w:pPr>
        <w:pStyle w:val="EPComma"/>
      </w:pPr>
      <w:r w:rsidRPr="00ED0BB8">
        <w:rPr>
          <w:i/>
        </w:rPr>
        <w:t>O Parlamento Europeu</w:t>
      </w:r>
      <w:r w:rsidRPr="00ED0BB8">
        <w:t>,</w:t>
      </w:r>
    </w:p>
    <w:p w14:paraId="56DBF587" w14:textId="582C36EC" w:rsidR="009E6ADD" w:rsidRPr="00ED0BB8" w:rsidRDefault="009E6ADD" w:rsidP="009E6ADD">
      <w:pPr>
        <w:pStyle w:val="NormalHanging12a"/>
      </w:pPr>
      <w:r w:rsidRPr="00ED0BB8">
        <w:t>–</w:t>
      </w:r>
      <w:r w:rsidRPr="00ED0BB8">
        <w:tab/>
        <w:t>Tendo em conta a proposta da Comissão ao Parlamento e ao Conselho (COM(2025)0137),</w:t>
      </w:r>
    </w:p>
    <w:p w14:paraId="4F67325B" w14:textId="77777777" w:rsidR="009E6ADD" w:rsidRPr="00ED0BB8" w:rsidRDefault="009E6ADD" w:rsidP="009E6ADD">
      <w:pPr>
        <w:pStyle w:val="NormalHanging12a"/>
      </w:pPr>
      <w:r w:rsidRPr="00ED0BB8">
        <w:t>–</w:t>
      </w:r>
      <w:r w:rsidRPr="00ED0BB8">
        <w:tab/>
        <w:t>Tendo em conta o artigo 294.º, n.º 2, o artigo 42.º, primeiro parágrafo, e o artigo 43.º, n.º 2, do Tratado sobre o Funcionamento da União Europeia, nos termos dos quais a proposta lhe foi apresentada pela Comissão (C10</w:t>
      </w:r>
      <w:r w:rsidRPr="00ED0BB8">
        <w:noBreakHyphen/>
        <w:t>0058/2025),</w:t>
      </w:r>
    </w:p>
    <w:p w14:paraId="45039FA1" w14:textId="77777777" w:rsidR="009E6ADD" w:rsidRPr="00ED0BB8" w:rsidRDefault="009E6ADD" w:rsidP="009E6ADD">
      <w:pPr>
        <w:pStyle w:val="NormalHanging12a"/>
      </w:pPr>
      <w:r w:rsidRPr="00ED0BB8">
        <w:t>–</w:t>
      </w:r>
      <w:r w:rsidRPr="00ED0BB8">
        <w:tab/>
        <w:t>Tendo em conta o artigo 294.º, n.º 3, do Tratado sobre o Funcionamento da União Europeia,</w:t>
      </w:r>
    </w:p>
    <w:p w14:paraId="370FC3C6" w14:textId="36E1C894" w:rsidR="009E6ADD" w:rsidRPr="00ED0BB8" w:rsidRDefault="009E6ADD" w:rsidP="009E6ADD">
      <w:pPr>
        <w:pStyle w:val="NormalHanging12a"/>
      </w:pPr>
      <w:r w:rsidRPr="00ED0BB8">
        <w:t>–</w:t>
      </w:r>
      <w:r w:rsidRPr="00ED0BB8">
        <w:tab/>
        <w:t>Tendo em conta o parecer do Comité Económico e Social Europeu de 17 de julho de</w:t>
      </w:r>
      <w:r w:rsidR="00D601CA" w:rsidRPr="00ED0BB8">
        <w:t> </w:t>
      </w:r>
      <w:r w:rsidRPr="00ED0BB8">
        <w:t>2025</w:t>
      </w:r>
      <w:r w:rsidRPr="00ED0BB8">
        <w:rPr>
          <w:rStyle w:val="FootnoteReference"/>
        </w:rPr>
        <w:footnoteReference w:id="1"/>
      </w:r>
      <w:r w:rsidRPr="00ED0BB8">
        <w:t>,</w:t>
      </w:r>
    </w:p>
    <w:p w14:paraId="72D64610" w14:textId="3343E10A" w:rsidR="009E6ADD" w:rsidRPr="00ED0BB8" w:rsidRDefault="009E6ADD" w:rsidP="009E6ADD">
      <w:pPr>
        <w:pStyle w:val="NormalHanging12a"/>
      </w:pPr>
      <w:r w:rsidRPr="00ED0BB8">
        <w:t>–</w:t>
      </w:r>
      <w:r w:rsidRPr="00ED0BB8">
        <w:tab/>
        <w:t xml:space="preserve">Tendo em conta o parecer do Comité das Regiões de </w:t>
      </w:r>
      <w:r w:rsidR="00217425" w:rsidRPr="00ED0BB8">
        <w:t>2</w:t>
      </w:r>
      <w:r w:rsidRPr="00ED0BB8">
        <w:t xml:space="preserve"> de julho de 2025</w:t>
      </w:r>
      <w:r w:rsidRPr="00ED0BB8">
        <w:rPr>
          <w:rStyle w:val="FootnoteReference"/>
        </w:rPr>
        <w:footnoteReference w:id="2"/>
      </w:r>
      <w:r w:rsidRPr="00ED0BB8">
        <w:t>,</w:t>
      </w:r>
    </w:p>
    <w:p w14:paraId="2FA9CFE0" w14:textId="12AD647F" w:rsidR="00C253BF" w:rsidRPr="00ED0BB8" w:rsidRDefault="00C253BF" w:rsidP="009E6ADD">
      <w:pPr>
        <w:pStyle w:val="NormalHanging12a"/>
      </w:pPr>
      <w:r w:rsidRPr="00ED0BB8">
        <w:t>–</w:t>
      </w:r>
      <w:r w:rsidRPr="00ED0BB8">
        <w:tab/>
        <w:t xml:space="preserve">Tendo em conta o acordo provisório aprovado pela comissão competente nos termos do artigo 75.º, n.º 4, do seu Regimento e o compromisso assumido pelo representante do Conselho, em carta de 16 de dezembro de 2025, de aprovar a posição do Parlamento Europeu, nos termos do artigo 294.º, n.º 4, do Tratado sobre o Funcionamento da União </w:t>
      </w:r>
      <w:r w:rsidRPr="00ED0BB8">
        <w:lastRenderedPageBreak/>
        <w:t>Europeia,</w:t>
      </w:r>
    </w:p>
    <w:p w14:paraId="214ACA6D" w14:textId="77777777" w:rsidR="009E6ADD" w:rsidRPr="00ED0BB8" w:rsidRDefault="009E6ADD" w:rsidP="009E6ADD">
      <w:pPr>
        <w:pStyle w:val="NormalHanging12a"/>
      </w:pPr>
      <w:r w:rsidRPr="00ED0BB8">
        <w:t>–</w:t>
      </w:r>
      <w:r w:rsidRPr="00ED0BB8">
        <w:tab/>
        <w:t>Tendo em conta o artigo 60.º do seu Regimento,</w:t>
      </w:r>
    </w:p>
    <w:p w14:paraId="4D447FC1" w14:textId="77777777" w:rsidR="009E6ADD" w:rsidRPr="00ED0BB8" w:rsidRDefault="009E6ADD" w:rsidP="009E6ADD">
      <w:pPr>
        <w:pStyle w:val="NormalHanging12a"/>
      </w:pPr>
      <w:r w:rsidRPr="00ED0BB8">
        <w:t>–</w:t>
      </w:r>
      <w:r w:rsidRPr="00ED0BB8">
        <w:tab/>
        <w:t>Tendo em conta o relatório da Comissão da Agricultura e do Desenvolvimento Rural (A10</w:t>
      </w:r>
      <w:r w:rsidRPr="00ED0BB8">
        <w:noBreakHyphen/>
        <w:t>0220/2025),</w:t>
      </w:r>
    </w:p>
    <w:p w14:paraId="57E5E5E1" w14:textId="77777777" w:rsidR="009E6ADD" w:rsidRPr="00ED0BB8" w:rsidRDefault="009E6ADD" w:rsidP="009E6ADD">
      <w:pPr>
        <w:pStyle w:val="NormalHanging12a"/>
      </w:pPr>
      <w:r w:rsidRPr="00ED0BB8">
        <w:t>1.</w:t>
      </w:r>
      <w:r w:rsidRPr="00ED0BB8">
        <w:tab/>
        <w:t>Aprova a posição em primeira leitura que se segue;</w:t>
      </w:r>
    </w:p>
    <w:p w14:paraId="5471F5E1" w14:textId="27C1F27B" w:rsidR="00C253BF" w:rsidRPr="00ED0BB8" w:rsidRDefault="00C253BF" w:rsidP="009E6ADD">
      <w:pPr>
        <w:pStyle w:val="NormalHanging12a"/>
      </w:pPr>
      <w:r w:rsidRPr="00ED0BB8">
        <w:t>2.</w:t>
      </w:r>
      <w:r w:rsidRPr="00ED0BB8">
        <w:tab/>
        <w:t xml:space="preserve">Regista a declaração da Comissão anexa à presente resolução, que será publicada na série C do </w:t>
      </w:r>
      <w:r w:rsidRPr="00ED0BB8">
        <w:rPr>
          <w:i/>
          <w:iCs/>
        </w:rPr>
        <w:t>Jornal Oficial da União Europeia</w:t>
      </w:r>
      <w:r w:rsidRPr="00ED0BB8">
        <w:t>;</w:t>
      </w:r>
    </w:p>
    <w:p w14:paraId="29B0CF9E" w14:textId="4E1D0649" w:rsidR="009E6ADD" w:rsidRPr="00ED0BB8" w:rsidRDefault="00C253BF" w:rsidP="009E6ADD">
      <w:pPr>
        <w:pStyle w:val="NormalHanging12a"/>
      </w:pPr>
      <w:r w:rsidRPr="00ED0BB8">
        <w:t>3</w:t>
      </w:r>
      <w:r w:rsidR="009E6ADD" w:rsidRPr="00ED0BB8">
        <w:t>.</w:t>
      </w:r>
      <w:r w:rsidR="009E6ADD" w:rsidRPr="00ED0BB8">
        <w:tab/>
        <w:t>Requer à Comissão que lhe submeta de novo a sua proposta, se a substituir, se a alterar substancialmente ou se pretender alterá</w:t>
      </w:r>
      <w:r w:rsidR="009E6ADD" w:rsidRPr="00ED0BB8">
        <w:noBreakHyphen/>
        <w:t>la substancialmente;</w:t>
      </w:r>
    </w:p>
    <w:p w14:paraId="7F19A2EE" w14:textId="4A870D90" w:rsidR="009E6ADD" w:rsidRPr="00ED0BB8" w:rsidRDefault="00C253BF" w:rsidP="009E6ADD">
      <w:pPr>
        <w:pStyle w:val="NormalHanging12a"/>
      </w:pPr>
      <w:r w:rsidRPr="00ED0BB8">
        <w:t>4</w:t>
      </w:r>
      <w:r w:rsidR="009E6ADD" w:rsidRPr="00ED0BB8">
        <w:t>.</w:t>
      </w:r>
      <w:r w:rsidR="009E6ADD" w:rsidRPr="00ED0BB8">
        <w:tab/>
        <w:t>Encarrega a sua Presidente de transmitir a posição do Parlamento ao Conselho, à Comissão e aos parlamentos nacionais.</w:t>
      </w:r>
    </w:p>
    <w:p w14:paraId="158C900E" w14:textId="77777777" w:rsidR="009E6ADD" w:rsidRPr="00ED0BB8" w:rsidRDefault="009E6ADD" w:rsidP="009E6ADD"/>
    <w:p w14:paraId="432BF892" w14:textId="77777777" w:rsidR="00C253BF" w:rsidRPr="00ED0BB8" w:rsidRDefault="00C253BF" w:rsidP="009E6ADD">
      <w:pPr>
        <w:sectPr w:rsidR="00C253BF" w:rsidRPr="00ED0BB8" w:rsidSect="000E1D49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534BCACE" w14:textId="086393C6" w:rsidR="00C253BF" w:rsidRPr="00ED0BB8" w:rsidRDefault="00C253BF" w:rsidP="00C253BF">
      <w:pPr>
        <w:widowControl/>
        <w:spacing w:after="240"/>
        <w:jc w:val="both"/>
        <w:rPr>
          <w:rFonts w:eastAsia="Calibri"/>
          <w:b/>
          <w:szCs w:val="24"/>
          <w:lang w:eastAsia="en-US"/>
        </w:rPr>
      </w:pPr>
      <w:r w:rsidRPr="00ED0BB8">
        <w:rPr>
          <w:rFonts w:eastAsia="Calibri"/>
          <w:b/>
          <w:szCs w:val="24"/>
          <w:lang w:eastAsia="en-US"/>
        </w:rPr>
        <w:lastRenderedPageBreak/>
        <w:t>P10_TC1-COD(2025)0071</w:t>
      </w:r>
    </w:p>
    <w:p w14:paraId="37A04FC9" w14:textId="5B9F54BF" w:rsidR="00C905F4" w:rsidRPr="00ED0BB8" w:rsidRDefault="00C253BF" w:rsidP="00C905F4">
      <w:pPr>
        <w:rPr>
          <w:rFonts w:eastAsia="Calibri"/>
          <w:b/>
          <w:color w:val="000000"/>
          <w:szCs w:val="22"/>
        </w:rPr>
      </w:pPr>
      <w:r w:rsidRPr="00ED0BB8">
        <w:rPr>
          <w:b/>
          <w:szCs w:val="24"/>
        </w:rPr>
        <w:t>Posição do Parlamento Europeu aprovada em primeira leitura em 10 de fevereiro de</w:t>
      </w:r>
      <w:r w:rsidR="0079394E" w:rsidRPr="00ED0BB8">
        <w:rPr>
          <w:b/>
          <w:szCs w:val="24"/>
        </w:rPr>
        <w:t> </w:t>
      </w:r>
      <w:r w:rsidRPr="00ED0BB8">
        <w:rPr>
          <w:b/>
          <w:szCs w:val="24"/>
        </w:rPr>
        <w:t>202</w:t>
      </w:r>
      <w:r w:rsidR="006E5F32" w:rsidRPr="00ED0BB8">
        <w:rPr>
          <w:b/>
          <w:szCs w:val="24"/>
        </w:rPr>
        <w:t>6</w:t>
      </w:r>
      <w:r w:rsidRPr="00ED0BB8">
        <w:rPr>
          <w:b/>
          <w:szCs w:val="24"/>
        </w:rPr>
        <w:t xml:space="preserve"> tendo em vista a adoção do Regulamento (UE) 2026/... do Parlamento Europeu e do Conselho </w:t>
      </w:r>
      <w:r w:rsidR="00C905F4" w:rsidRPr="00ED0BB8">
        <w:rPr>
          <w:b/>
          <w:color w:val="000000"/>
        </w:rPr>
        <w:t xml:space="preserve">que altera os Regulamentos (UE) n.º 1308/2013, (UE) n.º 251/2014 e (UE) 2021/2115 no respeitante a determinadas regras do mercado e </w:t>
      </w:r>
      <w:r w:rsidR="00C905F4" w:rsidRPr="000B7314">
        <w:rPr>
          <w:b/>
          <w:color w:val="000000"/>
        </w:rPr>
        <w:t>medidas de apoio setorial no setor vitivinícola e aos produtos vitivinícolas aromatizados, e o Regulamento (UE) 2024/1143 no respeitante a determinadas regras de rotulagem das bebidas espirituosas</w:t>
      </w:r>
    </w:p>
    <w:p w14:paraId="4C7F2BD9" w14:textId="77777777" w:rsidR="009E6ADD" w:rsidRPr="00ED0BB8" w:rsidRDefault="009E6ADD" w:rsidP="009E6ADD"/>
    <w:p w14:paraId="7725AFCB" w14:textId="1C0B4B59" w:rsidR="00C905F4" w:rsidRPr="000B7314" w:rsidRDefault="000B7314" w:rsidP="009E6ADD">
      <w:pPr>
        <w:rPr>
          <w:i/>
          <w:iCs/>
        </w:rPr>
      </w:pPr>
      <w:r w:rsidRPr="000B7314">
        <w:rPr>
          <w:i/>
          <w:iCs/>
        </w:rPr>
        <w:t>(Uma vez que foi alcançado um acordo entre o Parlamento e o Conselho, a posição do Parlamento corresponde ao texto legislativo final, Regulamento (UE) 2026/471.)</w:t>
      </w:r>
    </w:p>
    <w:p w14:paraId="57CB6E41" w14:textId="77777777" w:rsidR="000B7314" w:rsidRPr="000B7314" w:rsidRDefault="000B7314" w:rsidP="009E6ADD">
      <w:pPr>
        <w:rPr>
          <w:i/>
          <w:iCs/>
        </w:rPr>
      </w:pPr>
    </w:p>
    <w:p w14:paraId="4801C995" w14:textId="77777777" w:rsidR="000B7314" w:rsidRPr="00ED0BB8" w:rsidRDefault="000B7314" w:rsidP="009E6ADD">
      <w:pPr>
        <w:sectPr w:rsidR="000B7314" w:rsidRPr="00ED0BB8" w:rsidSect="000E1D49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411FEF43" w14:textId="0E25914B" w:rsidR="00C905F4" w:rsidRPr="000B7314" w:rsidRDefault="00C905F4" w:rsidP="00C905F4">
      <w:pPr>
        <w:spacing w:after="240" w:line="360" w:lineRule="auto"/>
        <w:jc w:val="right"/>
      </w:pPr>
      <w:r w:rsidRPr="000B7314">
        <w:lastRenderedPageBreak/>
        <w:t>ANEXO DA RESOLUÇÃO LEGISLATIVA</w:t>
      </w:r>
    </w:p>
    <w:p w14:paraId="41244A6D" w14:textId="508E7993" w:rsidR="00C905F4" w:rsidRPr="00ED0BB8" w:rsidRDefault="00C905F4" w:rsidP="00C905F4">
      <w:pPr>
        <w:spacing w:after="240" w:line="360" w:lineRule="auto"/>
        <w:jc w:val="center"/>
      </w:pPr>
      <w:r w:rsidRPr="00ED0BB8">
        <w:t>Declaração da Comissão por ocasião da adoção do Regulamento (</w:t>
      </w:r>
      <w:r w:rsidR="0070039B">
        <w:t>UE)</w:t>
      </w:r>
      <w:r w:rsidRPr="00ED0BB8">
        <w:t xml:space="preserve"> 2026</w:t>
      </w:r>
      <w:r w:rsidR="000B7314">
        <w:t>/</w:t>
      </w:r>
      <w:r w:rsidR="000B7314" w:rsidRPr="000B7314">
        <w:t xml:space="preserve">471 </w:t>
      </w:r>
      <w:r w:rsidRPr="00ED0BB8">
        <w:t xml:space="preserve">do Parlamento Europeu e do Conselho, </w:t>
      </w:r>
      <w:r w:rsidR="000B7314" w:rsidRPr="000B7314">
        <w:t>de 24 de fevereiro de 2026</w:t>
      </w:r>
      <w:r w:rsidR="000B7314">
        <w:rPr>
          <w:rStyle w:val="FootnoteReference"/>
        </w:rPr>
        <w:footnoteReference w:id="3"/>
      </w:r>
      <w:r w:rsidRPr="00ED0BB8">
        <w:t>, que altera os Regulamentos (UE) n.º 1308/2013, (UE) n.º 251/2014 e (UE) 2021/2115 no respeitante a determinadas regras do mercado e medidas de apoio setorial no setor vitivinícola e aos produtos vitivinícolas aromatizados, e o Regulamento (UE) 2024/1143 no respeitante a determinadas regras de rotulagem das bebidas espirituosas</w:t>
      </w:r>
    </w:p>
    <w:p w14:paraId="284818DB" w14:textId="77777777" w:rsidR="00C905F4" w:rsidRPr="00ED0BB8" w:rsidRDefault="00C905F4" w:rsidP="00C905F4">
      <w:pPr>
        <w:spacing w:line="360" w:lineRule="auto"/>
      </w:pPr>
      <w:r w:rsidRPr="00ED0BB8">
        <w:t xml:space="preserve">A Comissão envidará todos os esforços para apresentar em 2026 ao grupo de peritos ou comité competente: </w:t>
      </w:r>
    </w:p>
    <w:p w14:paraId="70EE5A8E" w14:textId="77777777" w:rsidR="00C905F4" w:rsidRPr="00ED0BB8" w:rsidRDefault="00C905F4" w:rsidP="00C905F4">
      <w:pPr>
        <w:spacing w:line="360" w:lineRule="auto"/>
        <w:ind w:left="851" w:hanging="851"/>
      </w:pPr>
      <w:r w:rsidRPr="00ED0BB8">
        <w:t>1)</w:t>
      </w:r>
      <w:r w:rsidRPr="00ED0BB8">
        <w:tab/>
        <w:t xml:space="preserve">Um projeto de ato de execução que altere o Regulamento (UE) 2018/274 relativo à possibilidade de alargar o âmbito de aplicação do </w:t>
      </w:r>
      <w:r w:rsidRPr="00ED0BB8">
        <w:rPr>
          <w:b/>
          <w:bCs/>
        </w:rPr>
        <w:t>procedimento simplificado para a concessão de autorizações para replantações</w:t>
      </w:r>
      <w:r w:rsidRPr="00ED0BB8">
        <w:t xml:space="preserve"> previsto no artigo 9.º desse regulamento;</w:t>
      </w:r>
    </w:p>
    <w:p w14:paraId="0314E0FE" w14:textId="77B58556" w:rsidR="00C905F4" w:rsidRPr="00ED0BB8" w:rsidRDefault="00C905F4" w:rsidP="00C905F4">
      <w:pPr>
        <w:spacing w:line="360" w:lineRule="auto"/>
        <w:ind w:left="851" w:hanging="851"/>
      </w:pPr>
      <w:r w:rsidRPr="00ED0BB8">
        <w:t>2)</w:t>
      </w:r>
      <w:r w:rsidRPr="00ED0BB8">
        <w:tab/>
        <w:t xml:space="preserve">Um projeto de alteração do Regulamento Delegado (UE) 2019/33 da Comissão, a fim de definir o sistema da União para a identificação, na embalagem ou no rótulo dos produtos vitivinícolas, </w:t>
      </w:r>
      <w:r w:rsidRPr="00ED0BB8">
        <w:rPr>
          <w:b/>
          <w:bCs/>
        </w:rPr>
        <w:t>da via eletrónica</w:t>
      </w:r>
      <w:r w:rsidRPr="00ED0BB8">
        <w:t xml:space="preserve"> a que se refere o artigo 119.º, n.ºs 4 e 5, do Regulamento (UE) n.º</w:t>
      </w:r>
      <w:r w:rsidR="000B7314">
        <w:t> </w:t>
      </w:r>
      <w:r w:rsidRPr="00ED0BB8">
        <w:t>1308/2013;</w:t>
      </w:r>
    </w:p>
    <w:p w14:paraId="530816DC" w14:textId="77777777" w:rsidR="00C905F4" w:rsidRPr="00ED0BB8" w:rsidRDefault="00C905F4" w:rsidP="00C905F4">
      <w:pPr>
        <w:spacing w:line="360" w:lineRule="auto"/>
        <w:ind w:left="851" w:hanging="851"/>
      </w:pPr>
      <w:r w:rsidRPr="00ED0BB8">
        <w:t>3)</w:t>
      </w:r>
      <w:r w:rsidRPr="00ED0BB8">
        <w:tab/>
        <w:t xml:space="preserve">Um projeto de alteração do Regulamento Delegado (UE) 2019/934 da Comissão, a fim de incluir, na </w:t>
      </w:r>
      <w:r w:rsidRPr="00ED0BB8">
        <w:rPr>
          <w:b/>
          <w:bCs/>
        </w:rPr>
        <w:t>definição de «lotação»</w:t>
      </w:r>
      <w:r w:rsidRPr="00ED0BB8">
        <w:t>, a possibilidade de misturar vinhos desalcoolizados ou parcialmente desalcoolizados com vinhos tranquilos para produzir vinhos parcialmente desalcoolizados;</w:t>
      </w:r>
    </w:p>
    <w:p w14:paraId="6EB8E400" w14:textId="18B24012" w:rsidR="00C905F4" w:rsidRPr="00ED0BB8" w:rsidRDefault="00C905F4" w:rsidP="00C905F4">
      <w:pPr>
        <w:spacing w:line="360" w:lineRule="auto"/>
        <w:ind w:left="851" w:hanging="851"/>
      </w:pPr>
      <w:r w:rsidRPr="00ED0BB8">
        <w:t>4)</w:t>
      </w:r>
      <w:r w:rsidRPr="00ED0BB8">
        <w:tab/>
        <w:t xml:space="preserve">Um projeto de ato delegado que estabeleça as condições para o </w:t>
      </w:r>
      <w:r w:rsidRPr="00ED0BB8">
        <w:rPr>
          <w:b/>
          <w:bCs/>
        </w:rPr>
        <w:t>arranque de vinhas abandonadas</w:t>
      </w:r>
      <w:r w:rsidRPr="00ED0BB8">
        <w:t xml:space="preserve"> a que se refere o novo artigo 62.º, n.º 6, do Regulamento (UE) n.º</w:t>
      </w:r>
      <w:r w:rsidR="000B7314">
        <w:t> </w:t>
      </w:r>
      <w:r w:rsidRPr="00ED0BB8">
        <w:t>1308/2013.</w:t>
      </w:r>
    </w:p>
    <w:sectPr w:rsidR="00C905F4" w:rsidRPr="00ED0BB8" w:rsidSect="000E1D49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4B345D" w14:textId="77777777" w:rsidR="00BA1B65" w:rsidRPr="000E1D49" w:rsidRDefault="00BA1B65">
      <w:r w:rsidRPr="000E1D49">
        <w:separator/>
      </w:r>
    </w:p>
  </w:endnote>
  <w:endnote w:type="continuationSeparator" w:id="0">
    <w:p w14:paraId="18596279" w14:textId="77777777" w:rsidR="00BA1B65" w:rsidRPr="000E1D49" w:rsidRDefault="00BA1B65">
      <w:r w:rsidRPr="000E1D4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D1903B" w14:textId="77777777" w:rsidR="00BA1B65" w:rsidRPr="000E1D49" w:rsidRDefault="00BA1B65">
      <w:r w:rsidRPr="000E1D49">
        <w:separator/>
      </w:r>
    </w:p>
  </w:footnote>
  <w:footnote w:type="continuationSeparator" w:id="0">
    <w:p w14:paraId="5B74FEFB" w14:textId="77777777" w:rsidR="00BA1B65" w:rsidRPr="000E1D49" w:rsidRDefault="00BA1B65">
      <w:r w:rsidRPr="000E1D49">
        <w:continuationSeparator/>
      </w:r>
    </w:p>
  </w:footnote>
  <w:footnote w:id="1">
    <w:p w14:paraId="09B55119" w14:textId="054D2A24" w:rsidR="009E6ADD" w:rsidRPr="000A5196" w:rsidRDefault="009E6ADD" w:rsidP="000E1D49">
      <w:pPr>
        <w:pStyle w:val="FootnoteText"/>
        <w:ind w:left="567" w:hanging="567"/>
        <w:rPr>
          <w:sz w:val="24"/>
          <w:szCs w:val="24"/>
          <w:lang w:val="fi-FI"/>
        </w:rPr>
      </w:pPr>
      <w:r w:rsidRPr="000A5196">
        <w:rPr>
          <w:rStyle w:val="FootnoteReference"/>
          <w:sz w:val="24"/>
          <w:szCs w:val="24"/>
          <w:lang w:val="pt-PT"/>
        </w:rPr>
        <w:footnoteRef/>
      </w:r>
      <w:r w:rsidR="000E1D49" w:rsidRPr="000A5196">
        <w:rPr>
          <w:sz w:val="24"/>
          <w:szCs w:val="24"/>
          <w:lang w:val="fi-FI"/>
        </w:rPr>
        <w:t xml:space="preserve"> </w:t>
      </w:r>
      <w:r w:rsidR="000E1D49" w:rsidRPr="000A5196">
        <w:rPr>
          <w:sz w:val="24"/>
          <w:szCs w:val="24"/>
          <w:lang w:val="fi-FI"/>
        </w:rPr>
        <w:tab/>
      </w:r>
      <w:r w:rsidRPr="000A5196">
        <w:rPr>
          <w:sz w:val="24"/>
          <w:szCs w:val="24"/>
          <w:lang w:val="fi-FI"/>
        </w:rPr>
        <w:t xml:space="preserve">JO C, </w:t>
      </w:r>
      <w:r w:rsidR="0085583F" w:rsidRPr="000A5196">
        <w:rPr>
          <w:sz w:val="24"/>
          <w:szCs w:val="24"/>
          <w:lang w:val="fi-FI"/>
        </w:rPr>
        <w:t xml:space="preserve">C/2025/5161, 28.10.2025, ELI: </w:t>
      </w:r>
      <w:hyperlink r:id="rId1" w:history="1">
        <w:r w:rsidR="0085583F" w:rsidRPr="000A5196">
          <w:rPr>
            <w:rStyle w:val="Hyperlink"/>
            <w:sz w:val="24"/>
            <w:szCs w:val="24"/>
            <w:lang w:val="fi-FI"/>
          </w:rPr>
          <w:t>http://data.europa.eu/eli/C/2025/5161/oj</w:t>
        </w:r>
      </w:hyperlink>
      <w:r w:rsidRPr="000A5196">
        <w:rPr>
          <w:sz w:val="24"/>
          <w:szCs w:val="24"/>
          <w:lang w:val="fi-FI"/>
        </w:rPr>
        <w:t>.</w:t>
      </w:r>
    </w:p>
  </w:footnote>
  <w:footnote w:id="2">
    <w:p w14:paraId="0BF4D4D9" w14:textId="3D480451" w:rsidR="009E6ADD" w:rsidRPr="000A5196" w:rsidRDefault="009E6ADD" w:rsidP="000E1D49">
      <w:pPr>
        <w:pStyle w:val="FootnoteText"/>
        <w:ind w:left="567" w:hanging="567"/>
        <w:rPr>
          <w:sz w:val="24"/>
          <w:szCs w:val="24"/>
          <w:lang w:val="fi-FI"/>
        </w:rPr>
      </w:pPr>
      <w:r w:rsidRPr="000A5196">
        <w:rPr>
          <w:rStyle w:val="FootnoteReference"/>
          <w:sz w:val="24"/>
          <w:szCs w:val="24"/>
          <w:lang w:val="pt-PT"/>
        </w:rPr>
        <w:footnoteRef/>
      </w:r>
      <w:r w:rsidR="000E1D49" w:rsidRPr="000A5196">
        <w:rPr>
          <w:sz w:val="24"/>
          <w:szCs w:val="24"/>
          <w:lang w:val="fi-FI"/>
        </w:rPr>
        <w:t xml:space="preserve"> </w:t>
      </w:r>
      <w:r w:rsidR="000E1D49" w:rsidRPr="000A5196">
        <w:rPr>
          <w:sz w:val="24"/>
          <w:szCs w:val="24"/>
          <w:lang w:val="fi-FI"/>
        </w:rPr>
        <w:tab/>
      </w:r>
      <w:r w:rsidRPr="000A5196">
        <w:rPr>
          <w:sz w:val="24"/>
          <w:szCs w:val="24"/>
          <w:lang w:val="fi-FI"/>
        </w:rPr>
        <w:t xml:space="preserve">JO C, </w:t>
      </w:r>
      <w:r w:rsidR="0085583F" w:rsidRPr="000A5196">
        <w:rPr>
          <w:sz w:val="24"/>
          <w:szCs w:val="24"/>
          <w:lang w:val="fi-FI"/>
        </w:rPr>
        <w:t xml:space="preserve">C/2025/4418, 29.8.2025, ELI: </w:t>
      </w:r>
      <w:hyperlink r:id="rId2" w:history="1">
        <w:r w:rsidR="0085583F" w:rsidRPr="000A5196">
          <w:rPr>
            <w:rStyle w:val="Hyperlink"/>
            <w:sz w:val="24"/>
            <w:szCs w:val="24"/>
            <w:lang w:val="fi-FI"/>
          </w:rPr>
          <w:t>http://data.europa.eu/eli/C/2025/4418/oj</w:t>
        </w:r>
      </w:hyperlink>
      <w:r w:rsidRPr="000A5196">
        <w:rPr>
          <w:sz w:val="24"/>
          <w:szCs w:val="24"/>
          <w:lang w:val="fi-FI"/>
        </w:rPr>
        <w:t>.</w:t>
      </w:r>
    </w:p>
  </w:footnote>
  <w:footnote w:id="3">
    <w:p w14:paraId="0A6DEAE8" w14:textId="1DBB106A" w:rsidR="000B7314" w:rsidRPr="000B7314" w:rsidRDefault="000B7314" w:rsidP="000B7314">
      <w:pPr>
        <w:pStyle w:val="FootnoteText"/>
        <w:ind w:left="851" w:hanging="851"/>
        <w:rPr>
          <w:sz w:val="24"/>
          <w:szCs w:val="24"/>
          <w:lang w:val="fi-FI"/>
        </w:rPr>
      </w:pPr>
      <w:r w:rsidRPr="000B7314">
        <w:rPr>
          <w:rStyle w:val="FootnoteReference"/>
          <w:sz w:val="24"/>
          <w:szCs w:val="24"/>
        </w:rPr>
        <w:footnoteRef/>
      </w:r>
      <w:r w:rsidRPr="000B7314">
        <w:rPr>
          <w:sz w:val="24"/>
          <w:szCs w:val="24"/>
          <w:lang w:val="fi-FI"/>
        </w:rPr>
        <w:t xml:space="preserve"> </w:t>
      </w:r>
      <w:r w:rsidRPr="000B7314">
        <w:rPr>
          <w:sz w:val="24"/>
          <w:szCs w:val="24"/>
          <w:lang w:val="fi-FI"/>
        </w:rPr>
        <w:tab/>
        <w:t xml:space="preserve">JO L, 2026/471, 26.2.2026, ELI: </w:t>
      </w:r>
      <w:hyperlink r:id="rId3" w:history="1">
        <w:r w:rsidRPr="000B7314">
          <w:rPr>
            <w:rStyle w:val="Hyperlink"/>
            <w:sz w:val="24"/>
            <w:szCs w:val="24"/>
            <w:lang w:val="fi-FI"/>
          </w:rPr>
          <w:t>http://data.europa.eu/eli/reg/2026/471/oj</w:t>
        </w:r>
      </w:hyperlink>
      <w:r w:rsidRPr="000B7314">
        <w:rPr>
          <w:sz w:val="24"/>
          <w:szCs w:val="24"/>
          <w:lang w:val="fi-FI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60839243">
    <w:abstractNumId w:val="9"/>
  </w:num>
  <w:num w:numId="2" w16cid:durableId="1145077288">
    <w:abstractNumId w:val="9"/>
  </w:num>
  <w:num w:numId="3" w16cid:durableId="1076393235">
    <w:abstractNumId w:val="7"/>
  </w:num>
  <w:num w:numId="4" w16cid:durableId="326640974">
    <w:abstractNumId w:val="7"/>
  </w:num>
  <w:num w:numId="5" w16cid:durableId="132061149">
    <w:abstractNumId w:val="6"/>
  </w:num>
  <w:num w:numId="6" w16cid:durableId="1031299831">
    <w:abstractNumId w:val="6"/>
  </w:num>
  <w:num w:numId="7" w16cid:durableId="505557665">
    <w:abstractNumId w:val="5"/>
  </w:num>
  <w:num w:numId="8" w16cid:durableId="1821581248">
    <w:abstractNumId w:val="5"/>
  </w:num>
  <w:num w:numId="9" w16cid:durableId="733896487">
    <w:abstractNumId w:val="4"/>
  </w:num>
  <w:num w:numId="10" w16cid:durableId="1532187912">
    <w:abstractNumId w:val="4"/>
  </w:num>
  <w:num w:numId="11" w16cid:durableId="564948320">
    <w:abstractNumId w:val="8"/>
  </w:num>
  <w:num w:numId="12" w16cid:durableId="1190945430">
    <w:abstractNumId w:val="8"/>
  </w:num>
  <w:num w:numId="13" w16cid:durableId="1460607306">
    <w:abstractNumId w:val="3"/>
  </w:num>
  <w:num w:numId="14" w16cid:durableId="797066238">
    <w:abstractNumId w:val="3"/>
  </w:num>
  <w:num w:numId="15" w16cid:durableId="95760457">
    <w:abstractNumId w:val="2"/>
  </w:num>
  <w:num w:numId="16" w16cid:durableId="556208941">
    <w:abstractNumId w:val="2"/>
  </w:num>
  <w:num w:numId="17" w16cid:durableId="792598360">
    <w:abstractNumId w:val="1"/>
  </w:num>
  <w:num w:numId="18" w16cid:durableId="215550448">
    <w:abstractNumId w:val="1"/>
  </w:num>
  <w:num w:numId="19" w16cid:durableId="966160599">
    <w:abstractNumId w:val="0"/>
  </w:num>
  <w:num w:numId="20" w16cid:durableId="1108086793">
    <w:abstractNumId w:val="0"/>
  </w:num>
  <w:num w:numId="21" w16cid:durableId="778374063">
    <w:abstractNumId w:val="9"/>
  </w:num>
  <w:num w:numId="22" w16cid:durableId="825824916">
    <w:abstractNumId w:val="7"/>
  </w:num>
  <w:num w:numId="23" w16cid:durableId="1076241264">
    <w:abstractNumId w:val="6"/>
  </w:num>
  <w:num w:numId="24" w16cid:durableId="451480448">
    <w:abstractNumId w:val="5"/>
  </w:num>
  <w:num w:numId="25" w16cid:durableId="1129514636">
    <w:abstractNumId w:val="4"/>
  </w:num>
  <w:num w:numId="26" w16cid:durableId="2077511764">
    <w:abstractNumId w:val="8"/>
  </w:num>
  <w:num w:numId="27" w16cid:durableId="361174260">
    <w:abstractNumId w:val="3"/>
  </w:num>
  <w:num w:numId="28" w16cid:durableId="1778400866">
    <w:abstractNumId w:val="2"/>
  </w:num>
  <w:num w:numId="29" w16cid:durableId="1500191926">
    <w:abstractNumId w:val="1"/>
  </w:num>
  <w:num w:numId="30" w16cid:durableId="308094471">
    <w:abstractNumId w:val="0"/>
  </w:num>
  <w:num w:numId="31" w16cid:durableId="986477190">
    <w:abstractNumId w:val="9"/>
  </w:num>
  <w:num w:numId="32" w16cid:durableId="540359941">
    <w:abstractNumId w:val="7"/>
  </w:num>
  <w:num w:numId="33" w16cid:durableId="698631576">
    <w:abstractNumId w:val="6"/>
  </w:num>
  <w:num w:numId="34" w16cid:durableId="608394957">
    <w:abstractNumId w:val="5"/>
  </w:num>
  <w:num w:numId="35" w16cid:durableId="1930887304">
    <w:abstractNumId w:val="4"/>
  </w:num>
  <w:num w:numId="36" w16cid:durableId="587999593">
    <w:abstractNumId w:val="8"/>
  </w:num>
  <w:num w:numId="37" w16cid:durableId="2128236808">
    <w:abstractNumId w:val="3"/>
  </w:num>
  <w:num w:numId="38" w16cid:durableId="1276212755">
    <w:abstractNumId w:val="2"/>
  </w:num>
  <w:num w:numId="39" w16cid:durableId="514340739">
    <w:abstractNumId w:val="1"/>
  </w:num>
  <w:num w:numId="40" w16cid:durableId="1338271406">
    <w:abstractNumId w:val="0"/>
  </w:num>
  <w:num w:numId="41" w16cid:durableId="1784769277">
    <w:abstractNumId w:val="10"/>
  </w:num>
  <w:num w:numId="42" w16cid:durableId="402679833">
    <w:abstractNumId w:val="10"/>
  </w:num>
  <w:num w:numId="43" w16cid:durableId="52849777">
    <w:abstractNumId w:val="10"/>
  </w:num>
  <w:num w:numId="44" w16cid:durableId="5551631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20/2025"/>
    <w:docVar w:name="dvlangue" w:val="PT"/>
    <w:docVar w:name="dvnumam" w:val="91"/>
    <w:docVar w:name="dvpe" w:val="774.316"/>
    <w:docVar w:name="dvrapporteur" w:val="Relatora: "/>
    <w:docVar w:name="dvstar" w:val="***I"/>
    <w:docVar w:name="dvtitre" w:val="Resolução legislativa do Parlamento Europeu, de ... de ... de 2026,_x000d__x000a_ sobre a proposta de regulamento do Parlamento Europeu e do Conselho que altera os Regulamentos (UE) n.º 1308/2013, (UE) 2021/2115 e (UE) n.º 251/2014 no respeitante a determinadas regras do mercado e medidas de apoio setorial no setor vitivinícola e aos produtos vitivinícolas aromatizados(COM(2025)0137 – C10-0058/2025 – 2025/0071(COD))"/>
  </w:docVars>
  <w:rsids>
    <w:rsidRoot w:val="00BA1B65"/>
    <w:rsid w:val="00002272"/>
    <w:rsid w:val="00064002"/>
    <w:rsid w:val="000677B9"/>
    <w:rsid w:val="000831BA"/>
    <w:rsid w:val="000A42CC"/>
    <w:rsid w:val="000A5196"/>
    <w:rsid w:val="000B7314"/>
    <w:rsid w:val="000E1D49"/>
    <w:rsid w:val="000E7DD9"/>
    <w:rsid w:val="0010095E"/>
    <w:rsid w:val="00125B37"/>
    <w:rsid w:val="00187494"/>
    <w:rsid w:val="001F32AE"/>
    <w:rsid w:val="00217425"/>
    <w:rsid w:val="00266E30"/>
    <w:rsid w:val="002767FF"/>
    <w:rsid w:val="002A4590"/>
    <w:rsid w:val="002B18FE"/>
    <w:rsid w:val="002B5493"/>
    <w:rsid w:val="002F4264"/>
    <w:rsid w:val="00343214"/>
    <w:rsid w:val="00361C00"/>
    <w:rsid w:val="00395FA1"/>
    <w:rsid w:val="003E15D4"/>
    <w:rsid w:val="00411CCE"/>
    <w:rsid w:val="00412330"/>
    <w:rsid w:val="0041666E"/>
    <w:rsid w:val="00421060"/>
    <w:rsid w:val="00471C19"/>
    <w:rsid w:val="004867E3"/>
    <w:rsid w:val="004925AD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C748D"/>
    <w:rsid w:val="005F1B17"/>
    <w:rsid w:val="006037C0"/>
    <w:rsid w:val="006631B6"/>
    <w:rsid w:val="00680577"/>
    <w:rsid w:val="00682B6C"/>
    <w:rsid w:val="006E5F32"/>
    <w:rsid w:val="006F74FA"/>
    <w:rsid w:val="0070039B"/>
    <w:rsid w:val="00731ADD"/>
    <w:rsid w:val="00734777"/>
    <w:rsid w:val="00747932"/>
    <w:rsid w:val="00751A4A"/>
    <w:rsid w:val="00756632"/>
    <w:rsid w:val="00757664"/>
    <w:rsid w:val="00762C74"/>
    <w:rsid w:val="00786EC0"/>
    <w:rsid w:val="0079394E"/>
    <w:rsid w:val="007C3AFF"/>
    <w:rsid w:val="007D1690"/>
    <w:rsid w:val="007E22AD"/>
    <w:rsid w:val="00817416"/>
    <w:rsid w:val="00842779"/>
    <w:rsid w:val="0085583F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E6ADD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2680"/>
    <w:rsid w:val="00B558F0"/>
    <w:rsid w:val="00BA1B65"/>
    <w:rsid w:val="00BD48FE"/>
    <w:rsid w:val="00BD7BD8"/>
    <w:rsid w:val="00BE6ADC"/>
    <w:rsid w:val="00C05BFE"/>
    <w:rsid w:val="00C23CD4"/>
    <w:rsid w:val="00C253BF"/>
    <w:rsid w:val="00C61C0C"/>
    <w:rsid w:val="00C905F4"/>
    <w:rsid w:val="00C941CB"/>
    <w:rsid w:val="00CC2357"/>
    <w:rsid w:val="00CF071A"/>
    <w:rsid w:val="00D058B8"/>
    <w:rsid w:val="00D56C11"/>
    <w:rsid w:val="00D601CA"/>
    <w:rsid w:val="00D834A0"/>
    <w:rsid w:val="00D872DF"/>
    <w:rsid w:val="00D91E21"/>
    <w:rsid w:val="00DA7FCD"/>
    <w:rsid w:val="00E365E1"/>
    <w:rsid w:val="00E578DC"/>
    <w:rsid w:val="00E820A4"/>
    <w:rsid w:val="00EB006A"/>
    <w:rsid w:val="00EB4772"/>
    <w:rsid w:val="00ED0BB8"/>
    <w:rsid w:val="00ED169E"/>
    <w:rsid w:val="00ED4235"/>
    <w:rsid w:val="00F04346"/>
    <w:rsid w:val="00F075DC"/>
    <w:rsid w:val="00F07EFA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747F52"/>
  <w15:chartTrackingRefBased/>
  <w15:docId w15:val="{03F5443E-8E63-436B-86AB-9BE4F2A7B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uiPriority w:val="39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9E6ADD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9E6ADD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9E6ADD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9E6ADD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9E6ADD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9E6ADD"/>
    <w:rPr>
      <w:i/>
      <w:sz w:val="22"/>
      <w:lang w:val="pt-PT"/>
    </w:rPr>
  </w:style>
  <w:style w:type="character" w:customStyle="1" w:styleId="Heading7Char">
    <w:name w:val="Heading 7 Char"/>
    <w:basedOn w:val="DefaultParagraphFont"/>
    <w:link w:val="Heading7"/>
    <w:semiHidden/>
    <w:rsid w:val="009E6ADD"/>
    <w:rPr>
      <w:rFonts w:ascii="Arial" w:hAnsi="Arial"/>
      <w:sz w:val="24"/>
      <w:lang w:val="pt-PT"/>
    </w:rPr>
  </w:style>
  <w:style w:type="character" w:customStyle="1" w:styleId="Heading8Char">
    <w:name w:val="Heading 8 Char"/>
    <w:basedOn w:val="DefaultParagraphFont"/>
    <w:link w:val="Heading8"/>
    <w:semiHidden/>
    <w:rsid w:val="009E6ADD"/>
    <w:rPr>
      <w:rFonts w:ascii="Arial" w:hAnsi="Arial"/>
      <w:i/>
      <w:sz w:val="24"/>
      <w:lang w:val="pt-PT"/>
    </w:rPr>
  </w:style>
  <w:style w:type="character" w:customStyle="1" w:styleId="Heading9Char">
    <w:name w:val="Heading 9 Char"/>
    <w:basedOn w:val="DefaultParagraphFont"/>
    <w:link w:val="Heading9"/>
    <w:semiHidden/>
    <w:rsid w:val="009E6ADD"/>
    <w:rPr>
      <w:rFonts w:ascii="Arial" w:hAnsi="Arial"/>
      <w:b/>
      <w:i/>
      <w:sz w:val="18"/>
      <w:lang w:val="pt-PT"/>
    </w:rPr>
  </w:style>
  <w:style w:type="paragraph" w:styleId="TOCHeading">
    <w:name w:val="TOC Heading"/>
    <w:basedOn w:val="Normal"/>
    <w:next w:val="Normal"/>
    <w:unhideWhenUsed/>
    <w:qFormat/>
    <w:rsid w:val="009E6ADD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9E6ADD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9E6ADD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9E6ADD"/>
    <w:pPr>
      <w:spacing w:after="120"/>
    </w:pPr>
  </w:style>
  <w:style w:type="paragraph" w:customStyle="1" w:styleId="PageHeading">
    <w:name w:val="PageHeading"/>
    <w:basedOn w:val="Normal"/>
    <w:rsid w:val="009E6ADD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9E6ADD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9E6ADD"/>
    <w:rPr>
      <w:b/>
      <w:sz w:val="24"/>
      <w:lang w:val="pt-PT"/>
    </w:rPr>
  </w:style>
  <w:style w:type="paragraph" w:customStyle="1" w:styleId="NormalBold12a">
    <w:name w:val="NormalBold12a"/>
    <w:basedOn w:val="Normal"/>
    <w:rsid w:val="009E6ADD"/>
    <w:pPr>
      <w:spacing w:after="240"/>
    </w:pPr>
    <w:rPr>
      <w:b/>
    </w:rPr>
  </w:style>
  <w:style w:type="paragraph" w:customStyle="1" w:styleId="AmJustText">
    <w:name w:val="AmJustText"/>
    <w:basedOn w:val="Normal"/>
    <w:rsid w:val="009E6ADD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9E6ADD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9E6ADD"/>
    <w:pPr>
      <w:spacing w:after="480"/>
      <w:ind w:left="1417"/>
    </w:pPr>
  </w:style>
  <w:style w:type="paragraph" w:customStyle="1" w:styleId="CoverNormal">
    <w:name w:val="CoverNormal"/>
    <w:basedOn w:val="Normal"/>
    <w:rsid w:val="009E6ADD"/>
    <w:pPr>
      <w:ind w:left="1418"/>
    </w:pPr>
  </w:style>
  <w:style w:type="paragraph" w:customStyle="1" w:styleId="AmCrossRef">
    <w:name w:val="AmCrossRef"/>
    <w:basedOn w:val="Normal"/>
    <w:rsid w:val="009E6ADD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9E6ADD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9E6ADD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9E6ADD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9E6ADD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9E6ADD"/>
    <w:pPr>
      <w:spacing w:before="240" w:after="1200"/>
    </w:pPr>
  </w:style>
  <w:style w:type="paragraph" w:styleId="Header">
    <w:name w:val="header"/>
    <w:basedOn w:val="Normal"/>
    <w:link w:val="HeaderChar"/>
    <w:rsid w:val="009E6AD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9E6ADD"/>
    <w:rPr>
      <w:sz w:val="24"/>
      <w:lang w:val="pt-PT"/>
    </w:rPr>
  </w:style>
  <w:style w:type="paragraph" w:customStyle="1" w:styleId="AmOrLang">
    <w:name w:val="AmOrLang"/>
    <w:basedOn w:val="Normal"/>
    <w:rsid w:val="009E6ADD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9E6ADD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9E6AD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9E6ADD"/>
    <w:pPr>
      <w:spacing w:before="240"/>
    </w:pPr>
    <w:rPr>
      <w:b/>
    </w:rPr>
  </w:style>
  <w:style w:type="paragraph" w:customStyle="1" w:styleId="EPBody">
    <w:name w:val="EPBody"/>
    <w:basedOn w:val="Normal"/>
    <w:rsid w:val="009E6ADD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9E6ADD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9E6ADD"/>
    <w:pPr>
      <w:spacing w:before="480" w:after="240"/>
    </w:pPr>
  </w:style>
  <w:style w:type="paragraph" w:customStyle="1" w:styleId="Lgendesigne">
    <w:name w:val="Légende signe"/>
    <w:basedOn w:val="Normal"/>
    <w:rsid w:val="009E6ADD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9E6ADD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9E6ADD"/>
    <w:rPr>
      <w:sz w:val="18"/>
    </w:rPr>
  </w:style>
  <w:style w:type="character" w:customStyle="1" w:styleId="FooterChar">
    <w:name w:val="Footer Char"/>
    <w:basedOn w:val="DefaultParagraphFont"/>
    <w:link w:val="Footer"/>
    <w:rsid w:val="009E6ADD"/>
    <w:rPr>
      <w:sz w:val="22"/>
    </w:rPr>
  </w:style>
  <w:style w:type="paragraph" w:styleId="Footer">
    <w:name w:val="footer"/>
    <w:link w:val="FooterChar"/>
    <w:unhideWhenUsed/>
    <w:rsid w:val="009E6ADD"/>
    <w:pPr>
      <w:tabs>
        <w:tab w:val="center" w:pos="4536"/>
        <w:tab w:val="right" w:pos="9072"/>
      </w:tabs>
      <w:spacing w:before="240" w:after="240" w:line="220" w:lineRule="auto"/>
    </w:pPr>
    <w:rPr>
      <w:sz w:val="22"/>
    </w:rPr>
  </w:style>
  <w:style w:type="character" w:customStyle="1" w:styleId="FooterChar1">
    <w:name w:val="Footer Char1"/>
    <w:basedOn w:val="DefaultParagraphFont"/>
    <w:rsid w:val="009E6ADD"/>
    <w:rPr>
      <w:sz w:val="24"/>
      <w:lang w:val="pt-PT"/>
    </w:rPr>
  </w:style>
  <w:style w:type="character" w:customStyle="1" w:styleId="Normal12Char">
    <w:name w:val="Normal12 Char"/>
    <w:basedOn w:val="DefaultParagraphFont"/>
    <w:link w:val="Normal12"/>
    <w:locked/>
    <w:rsid w:val="009E6ADD"/>
    <w:rPr>
      <w:noProof/>
      <w:sz w:val="24"/>
    </w:rPr>
  </w:style>
  <w:style w:type="paragraph" w:customStyle="1" w:styleId="Normal12">
    <w:name w:val="Normal12"/>
    <w:basedOn w:val="Normal"/>
    <w:link w:val="Normal12Char"/>
    <w:rsid w:val="009E6ADD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9E6ADD"/>
    <w:rPr>
      <w:sz w:val="24"/>
      <w:lang w:val="pt-PT"/>
    </w:rPr>
  </w:style>
  <w:style w:type="paragraph" w:customStyle="1" w:styleId="Normal6">
    <w:name w:val="Normal6"/>
    <w:basedOn w:val="Normal"/>
    <w:link w:val="Normal6Char"/>
    <w:rsid w:val="009E6ADD"/>
    <w:pPr>
      <w:spacing w:after="120"/>
    </w:pPr>
  </w:style>
  <w:style w:type="paragraph" w:customStyle="1" w:styleId="Normal12Italic">
    <w:name w:val="Normal12Italic"/>
    <w:basedOn w:val="Normal12"/>
    <w:rsid w:val="009E6ADD"/>
    <w:rPr>
      <w:i/>
    </w:rPr>
  </w:style>
  <w:style w:type="paragraph" w:customStyle="1" w:styleId="Footer2">
    <w:name w:val="Footer2"/>
    <w:basedOn w:val="Normal12"/>
    <w:rsid w:val="009E6ADD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paragraph" w:customStyle="1" w:styleId="EntPE">
    <w:name w:val="EntPE"/>
    <w:basedOn w:val="Normal12"/>
    <w:rsid w:val="009E6ADD"/>
    <w:pPr>
      <w:jc w:val="center"/>
    </w:pPr>
    <w:rPr>
      <w:noProof w:val="0"/>
      <w:sz w:val="56"/>
    </w:rPr>
  </w:style>
  <w:style w:type="paragraph" w:customStyle="1" w:styleId="AMNumberTabs0">
    <w:name w:val="AMNumberTabs"/>
    <w:basedOn w:val="Normal"/>
    <w:rsid w:val="009E6AD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9E6ADD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9E6ADD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12"/>
    <w:rsid w:val="009E6ADD"/>
    <w:pPr>
      <w:keepNext/>
      <w:spacing w:before="240" w:after="240"/>
      <w:jc w:val="center"/>
    </w:pPr>
    <w:rPr>
      <w:i/>
      <w:noProof/>
    </w:rPr>
  </w:style>
  <w:style w:type="paragraph" w:customStyle="1" w:styleId="CrossRef">
    <w:name w:val="CrossRef"/>
    <w:basedOn w:val="Normal"/>
    <w:rsid w:val="009E6ADD"/>
    <w:pPr>
      <w:spacing w:before="240"/>
      <w:jc w:val="center"/>
    </w:pPr>
    <w:rPr>
      <w:i/>
    </w:rPr>
  </w:style>
  <w:style w:type="paragraph" w:styleId="NormalWeb">
    <w:name w:val="Normal (Web)"/>
    <w:basedOn w:val="Normal"/>
    <w:uiPriority w:val="99"/>
    <w:unhideWhenUsed/>
    <w:rsid w:val="009E6ADD"/>
    <w:pPr>
      <w:widowControl/>
      <w:spacing w:before="100" w:beforeAutospacing="1" w:after="100" w:afterAutospacing="1"/>
    </w:pPr>
    <w:rPr>
      <w:szCs w:val="24"/>
    </w:rPr>
  </w:style>
  <w:style w:type="character" w:styleId="Hyperlink">
    <w:name w:val="Hyperlink"/>
    <w:basedOn w:val="DefaultParagraphFont"/>
    <w:uiPriority w:val="99"/>
    <w:unhideWhenUsed/>
    <w:rsid w:val="009E6ADD"/>
    <w:rPr>
      <w:color w:val="0563C1"/>
      <w:u w:val="single"/>
    </w:rPr>
  </w:style>
  <w:style w:type="paragraph" w:styleId="BalloonText">
    <w:name w:val="Balloon Text"/>
    <w:basedOn w:val="Normal"/>
    <w:link w:val="BalloonTextChar"/>
    <w:unhideWhenUsed/>
    <w:rsid w:val="009E6AD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E6ADD"/>
    <w:rPr>
      <w:rFonts w:ascii="Segoe UI" w:hAnsi="Segoe UI" w:cs="Segoe UI"/>
      <w:sz w:val="18"/>
      <w:szCs w:val="18"/>
      <w:lang w:val="pt-PT"/>
    </w:rPr>
  </w:style>
  <w:style w:type="character" w:styleId="CommentReference">
    <w:name w:val="annotation reference"/>
    <w:basedOn w:val="DefaultParagraphFont"/>
    <w:uiPriority w:val="99"/>
    <w:rsid w:val="009E6AD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9E6ADD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E6ADD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9E6AD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E6ADD"/>
    <w:rPr>
      <w:b/>
      <w:bCs/>
      <w:lang w:val="pt-PT"/>
    </w:rPr>
  </w:style>
  <w:style w:type="paragraph" w:customStyle="1" w:styleId="Point1">
    <w:name w:val="Point 1"/>
    <w:basedOn w:val="Normal"/>
    <w:rsid w:val="009E6ADD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character" w:styleId="Emphasis">
    <w:name w:val="Emphasis"/>
    <w:basedOn w:val="DefaultParagraphFont"/>
    <w:uiPriority w:val="20"/>
    <w:qFormat/>
    <w:rsid w:val="009E6ADD"/>
    <w:rPr>
      <w:i/>
      <w:iCs/>
    </w:rPr>
  </w:style>
  <w:style w:type="paragraph" w:styleId="Revision">
    <w:name w:val="Revision"/>
    <w:hidden/>
    <w:uiPriority w:val="99"/>
    <w:semiHidden/>
    <w:rsid w:val="009E6ADD"/>
    <w:rPr>
      <w:sz w:val="24"/>
      <w:lang w:val="pt-PT"/>
    </w:rPr>
  </w:style>
  <w:style w:type="paragraph" w:customStyle="1" w:styleId="Normal12a">
    <w:name w:val="Normal12a"/>
    <w:basedOn w:val="Normal"/>
    <w:rsid w:val="009E6ADD"/>
    <w:pPr>
      <w:spacing w:after="240"/>
    </w:pPr>
  </w:style>
  <w:style w:type="paragraph" w:customStyle="1" w:styleId="RollCallVotes">
    <w:name w:val="RollCallVotes"/>
    <w:basedOn w:val="Normal"/>
    <w:rsid w:val="009E6ADD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9E6ADD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9E6ADD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9E6ADD"/>
    <w:pPr>
      <w:spacing w:before="120" w:after="120"/>
    </w:pPr>
    <w:rPr>
      <w:snapToGrid w:val="0"/>
      <w:sz w:val="16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9E6AD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C253B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6/471/oj" TargetMode="External"/><Relationship Id="rId2" Type="http://schemas.openxmlformats.org/officeDocument/2006/relationships/hyperlink" Target="http://data.europa.eu/eli/C/2025/4418/oj" TargetMode="External"/><Relationship Id="rId1" Type="http://schemas.openxmlformats.org/officeDocument/2006/relationships/hyperlink" Target="http://data.europa.eu/eli/C/2025/516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708</Words>
  <Characters>3986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IAM-PlenConsAM</dc:creator>
  <cp:keywords/>
  <cp:lastModifiedBy>SOLTYSOVA Zuzana</cp:lastModifiedBy>
  <cp:revision>3</cp:revision>
  <cp:lastPrinted>2004-11-19T15:42:00Z</cp:lastPrinted>
  <dcterms:created xsi:type="dcterms:W3CDTF">2026-04-15T10:24:00Z</dcterms:created>
  <dcterms:modified xsi:type="dcterms:W3CDTF">2026-04-30T14:54:00Z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P10_TA(2026)0028_</vt:lpwstr>
  </property>
  <property fmtid="{D5CDD505-2E9C-101B-9397-08002B2CF9AE}" pid="4" name="&lt;Type&gt;">
    <vt:lpwstr>RR</vt:lpwstr>
  </property>
</Properties>
</file>