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551B" w14:paraId="7239A7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F2DB6A" w14:textId="77777777" w:rsidR="00751A4A" w:rsidRPr="0073551B" w:rsidRDefault="00AE0631" w:rsidP="0010095E">
            <w:pPr>
              <w:pStyle w:val="EPName"/>
            </w:pPr>
            <w:r w:rsidRPr="0073551B">
              <w:t>Európsky parlament</w:t>
            </w:r>
          </w:p>
          <w:p w14:paraId="22D873CF" w14:textId="77777777" w:rsidR="00751A4A" w:rsidRPr="007355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551B">
              <w:t>2024</w:t>
            </w:r>
            <w:r w:rsidR="00817416" w:rsidRPr="0073551B">
              <w:t>-202</w:t>
            </w:r>
            <w:r w:rsidRPr="0073551B">
              <w:t>9</w:t>
            </w:r>
          </w:p>
        </w:tc>
        <w:tc>
          <w:tcPr>
            <w:tcW w:w="2268" w:type="dxa"/>
            <w:shd w:val="clear" w:color="auto" w:fill="auto"/>
          </w:tcPr>
          <w:p w14:paraId="64DFA13E" w14:textId="77777777" w:rsidR="00751A4A" w:rsidRPr="0073551B" w:rsidRDefault="00187494" w:rsidP="0010095E">
            <w:pPr>
              <w:pStyle w:val="EPLogo"/>
            </w:pPr>
            <w:r w:rsidRPr="0073551B">
              <w:rPr>
                <w:noProof/>
                <w:lang w:eastAsia="ja-JP"/>
              </w:rPr>
              <w:drawing>
                <wp:inline distT="0" distB="0" distL="0" distR="0" wp14:anchorId="04ADD11D" wp14:editId="1B3C01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DED3BA" w14:textId="77777777" w:rsidR="00D058B8" w:rsidRPr="0073551B" w:rsidRDefault="00D058B8" w:rsidP="004C5D52">
      <w:pPr>
        <w:pStyle w:val="LineTop"/>
      </w:pPr>
    </w:p>
    <w:p w14:paraId="076D3CE6" w14:textId="77777777" w:rsidR="00680577" w:rsidRPr="0073551B" w:rsidRDefault="00AE0631" w:rsidP="00680577">
      <w:pPr>
        <w:pStyle w:val="EPBodyTA1"/>
      </w:pPr>
      <w:r w:rsidRPr="0073551B">
        <w:t>PRIJATÉ TEXTY</w:t>
      </w:r>
    </w:p>
    <w:p w14:paraId="04C5EB1F" w14:textId="77777777" w:rsidR="00D058B8" w:rsidRPr="0073551B" w:rsidRDefault="00D058B8" w:rsidP="00D058B8">
      <w:pPr>
        <w:pStyle w:val="LineBottom"/>
      </w:pPr>
    </w:p>
    <w:p w14:paraId="37D9B424" w14:textId="1D54AA2E" w:rsidR="00AE0631" w:rsidRPr="0073551B" w:rsidRDefault="00AE0631" w:rsidP="00AE0631">
      <w:pPr>
        <w:pStyle w:val="ATHeading1"/>
      </w:pPr>
      <w:bookmarkStart w:id="0" w:name="TANumber"/>
      <w:r w:rsidRPr="0073551B">
        <w:t>P10_TA(2026)00</w:t>
      </w:r>
      <w:r w:rsidR="0073551B" w:rsidRPr="0073551B">
        <w:t>2</w:t>
      </w:r>
      <w:r w:rsidR="00200A32">
        <w:t>8</w:t>
      </w:r>
      <w:bookmarkEnd w:id="0"/>
    </w:p>
    <w:p w14:paraId="35E0A58A" w14:textId="111AEB47" w:rsidR="00AE0631" w:rsidRPr="0073551B" w:rsidRDefault="00AE0631" w:rsidP="00E9266B">
      <w:pPr>
        <w:pStyle w:val="ATHeading2"/>
      </w:pPr>
      <w:bookmarkStart w:id="1" w:name="title"/>
      <w:r w:rsidRPr="0073551B">
        <w:t xml:space="preserve">Zmena </w:t>
      </w:r>
      <w:r w:rsidR="00E9266B" w:rsidRPr="0073551B">
        <w:t>nariadení o poľnohospodárskych výrobkoch, pokiaľ ide o pravidlá trhu a sektorové podporné opatrenia v sektore vinohradníctva a vinárstva a pre aromatizované vínne výrobky</w:t>
      </w:r>
      <w:bookmarkEnd w:id="1"/>
    </w:p>
    <w:p w14:paraId="063B7E85" w14:textId="77777777" w:rsidR="00AE0631" w:rsidRPr="0073551B" w:rsidRDefault="00AE0631" w:rsidP="00AE0631">
      <w:pPr>
        <w:rPr>
          <w:i/>
          <w:vanish/>
        </w:rPr>
      </w:pPr>
      <w:r w:rsidRPr="0073551B">
        <w:rPr>
          <w:i/>
        </w:rPr>
        <w:fldChar w:fldCharType="begin"/>
      </w:r>
      <w:r w:rsidRPr="0073551B">
        <w:rPr>
          <w:i/>
        </w:rPr>
        <w:instrText xml:space="preserve"> TC"(</w:instrText>
      </w:r>
      <w:bookmarkStart w:id="2" w:name="DocNumber"/>
      <w:r w:rsidRPr="0073551B">
        <w:rPr>
          <w:i/>
        </w:rPr>
        <w:instrText>A10-0220/2025</w:instrText>
      </w:r>
      <w:bookmarkEnd w:id="2"/>
      <w:r w:rsidRPr="0073551B">
        <w:rPr>
          <w:i/>
        </w:rPr>
        <w:instrText xml:space="preserve"> - Spravodajkyňa: Esther Herranz García)"\l3 \n&gt; \* MERGEFORMAT </w:instrText>
      </w:r>
      <w:r w:rsidRPr="0073551B">
        <w:rPr>
          <w:i/>
        </w:rPr>
        <w:fldChar w:fldCharType="end"/>
      </w:r>
    </w:p>
    <w:p w14:paraId="3371708F" w14:textId="77777777" w:rsidR="00AE0631" w:rsidRPr="0073551B" w:rsidRDefault="00AE0631" w:rsidP="00AE0631">
      <w:pPr>
        <w:rPr>
          <w:vanish/>
        </w:rPr>
      </w:pPr>
      <w:bookmarkStart w:id="3" w:name="Commission"/>
      <w:r w:rsidRPr="0073551B">
        <w:rPr>
          <w:vanish/>
        </w:rPr>
        <w:t>Výbor pre poľnohospodárstvo a rozvoj vidieka</w:t>
      </w:r>
      <w:bookmarkEnd w:id="3"/>
    </w:p>
    <w:p w14:paraId="21F7F94A" w14:textId="77777777" w:rsidR="00AE0631" w:rsidRPr="0073551B" w:rsidRDefault="00AE0631" w:rsidP="00AE0631">
      <w:pPr>
        <w:rPr>
          <w:vanish/>
        </w:rPr>
      </w:pPr>
      <w:bookmarkStart w:id="4" w:name="PE"/>
      <w:r w:rsidRPr="0073551B">
        <w:rPr>
          <w:vanish/>
        </w:rPr>
        <w:t>PE774.316</w:t>
      </w:r>
      <w:bookmarkEnd w:id="4"/>
    </w:p>
    <w:p w14:paraId="41234F78" w14:textId="290CD11F" w:rsidR="00AE0631" w:rsidRPr="0073551B" w:rsidRDefault="00AE0631" w:rsidP="00AE0631">
      <w:pPr>
        <w:pStyle w:val="ATHeading3"/>
      </w:pPr>
      <w:bookmarkStart w:id="5" w:name="Sujet"/>
      <w:r w:rsidRPr="0073551B">
        <w:t xml:space="preserve">Legislatívne uznesenie Európskeho parlamentu z </w:t>
      </w:r>
      <w:r w:rsidR="0045194C" w:rsidRPr="0073551B">
        <w:t>10</w:t>
      </w:r>
      <w:r w:rsidRPr="0073551B">
        <w:t xml:space="preserve">. </w:t>
      </w:r>
      <w:r w:rsidR="0045194C" w:rsidRPr="0073551B">
        <w:t xml:space="preserve">februára </w:t>
      </w:r>
      <w:r w:rsidRPr="0073551B">
        <w:t>2026 o návrhu nariadenia Európskeho parlamentu a Rady, ktorým sa menia nariadenia (EÚ) č. 1308/2013, (EÚ) 2021/2115 a (EÚ) č. 251/2014, pokiaľ ide o určité pravidlá trhu a sektorové podporné opatrenia v sektore vinohradníctva a vinárstva a pre aromatizované vínne výrobky</w:t>
      </w:r>
      <w:bookmarkEnd w:id="5"/>
      <w:r w:rsidRPr="0073551B">
        <w:t xml:space="preserve"> </w:t>
      </w:r>
      <w:bookmarkStart w:id="6" w:name="References"/>
      <w:r w:rsidRPr="0073551B">
        <w:t>(COM(2025)0137 – C10-0058/2025 – 2025/0071(COD))</w:t>
      </w:r>
      <w:bookmarkEnd w:id="6"/>
    </w:p>
    <w:p w14:paraId="5EBF3E64" w14:textId="77777777" w:rsidR="006729BC" w:rsidRPr="0073551B" w:rsidRDefault="006729BC" w:rsidP="006729BC">
      <w:pPr>
        <w:pStyle w:val="NormalBold"/>
      </w:pPr>
      <w:r w:rsidRPr="0073551B">
        <w:t>(Riadny legislatívny postup: prvé čítanie)</w:t>
      </w:r>
    </w:p>
    <w:p w14:paraId="69C95F76" w14:textId="77777777" w:rsidR="006729BC" w:rsidRPr="0073551B" w:rsidRDefault="006729BC" w:rsidP="006729BC">
      <w:pPr>
        <w:pStyle w:val="EPComma"/>
      </w:pPr>
      <w:r w:rsidRPr="0073551B">
        <w:rPr>
          <w:i/>
        </w:rPr>
        <w:t>Európsky parlament</w:t>
      </w:r>
      <w:r w:rsidRPr="0073551B">
        <w:t>,</w:t>
      </w:r>
    </w:p>
    <w:p w14:paraId="6D60299A" w14:textId="77777777" w:rsidR="006729BC" w:rsidRPr="0073551B" w:rsidRDefault="006729BC" w:rsidP="006729BC">
      <w:pPr>
        <w:pStyle w:val="NormalHanging12a"/>
      </w:pPr>
      <w:r w:rsidRPr="0073551B">
        <w:t>–</w:t>
      </w:r>
      <w:r w:rsidRPr="0073551B">
        <w:tab/>
        <w:t>so zreteľom na návrh Komisie pre Európsky parlament a Radu (COM(2025)0137),</w:t>
      </w:r>
    </w:p>
    <w:p w14:paraId="1D28DCD4" w14:textId="18C7350D" w:rsidR="006729BC" w:rsidRPr="0073551B" w:rsidRDefault="006729BC" w:rsidP="006729BC">
      <w:pPr>
        <w:pStyle w:val="NormalHanging12a"/>
      </w:pPr>
      <w:r w:rsidRPr="0073551B">
        <w:t>–</w:t>
      </w:r>
      <w:r w:rsidRPr="0073551B">
        <w:tab/>
        <w:t>so zreteľom na článok 294 ods. 2, článok 42 prvý odsek a článok 43 ods. 2 Zmluvy o fungovaní Európskej únie, v súlade s ktorými Komisia predložila návrh Európskemu parlamentu (C10</w:t>
      </w:r>
      <w:r w:rsidRPr="0073551B">
        <w:noBreakHyphen/>
        <w:t>0058/2025),</w:t>
      </w:r>
    </w:p>
    <w:p w14:paraId="43AC6970" w14:textId="77777777" w:rsidR="006729BC" w:rsidRPr="0073551B" w:rsidRDefault="006729BC" w:rsidP="006729BC">
      <w:pPr>
        <w:pStyle w:val="NormalHanging12a"/>
      </w:pPr>
      <w:r w:rsidRPr="0073551B">
        <w:t>–</w:t>
      </w:r>
      <w:r w:rsidRPr="0073551B">
        <w:tab/>
        <w:t>so zreteľom na článok 294 ods. 3 Zmluvy o fungovaní Európskej únie,</w:t>
      </w:r>
    </w:p>
    <w:p w14:paraId="4855BEE9" w14:textId="77777777" w:rsidR="006729BC" w:rsidRPr="0073551B" w:rsidRDefault="006729BC" w:rsidP="006729BC">
      <w:pPr>
        <w:pStyle w:val="NormalHanging12a"/>
      </w:pPr>
      <w:r w:rsidRPr="0073551B">
        <w:t>–</w:t>
      </w:r>
      <w:r w:rsidRPr="0073551B">
        <w:tab/>
        <w:t>so zreteľom na stanovisko Európskeho hospodárskeho a sociálneho výboru zo 17. júla 2025</w:t>
      </w:r>
      <w:r w:rsidRPr="0073551B">
        <w:rPr>
          <w:rStyle w:val="FootnoteReference"/>
        </w:rPr>
        <w:footnoteReference w:id="1"/>
      </w:r>
      <w:r w:rsidRPr="0073551B">
        <w:t>,</w:t>
      </w:r>
    </w:p>
    <w:p w14:paraId="1C89C697" w14:textId="410A7F6D" w:rsidR="006729BC" w:rsidRPr="0073551B" w:rsidRDefault="006729BC" w:rsidP="006729BC">
      <w:pPr>
        <w:pStyle w:val="NormalHanging12a"/>
      </w:pPr>
      <w:r w:rsidRPr="0073551B">
        <w:t>–</w:t>
      </w:r>
      <w:r w:rsidRPr="0073551B">
        <w:tab/>
        <w:t>so zreteľom na stanovisko Výboru regiónov z </w:t>
      </w:r>
      <w:r w:rsidR="0045194C" w:rsidRPr="0073551B">
        <w:t>2</w:t>
      </w:r>
      <w:r w:rsidRPr="0073551B">
        <w:t>. júla 2025</w:t>
      </w:r>
      <w:r w:rsidRPr="0073551B">
        <w:rPr>
          <w:rStyle w:val="FootnoteReference"/>
        </w:rPr>
        <w:footnoteReference w:id="2"/>
      </w:r>
      <w:r w:rsidRPr="0073551B">
        <w:t>,</w:t>
      </w:r>
    </w:p>
    <w:p w14:paraId="632564B8" w14:textId="1B5B74CC" w:rsidR="003E7AD5" w:rsidRPr="0073551B" w:rsidRDefault="003E7AD5" w:rsidP="006729BC">
      <w:pPr>
        <w:pStyle w:val="NormalHanging12a"/>
      </w:pPr>
      <w:r w:rsidRPr="0073551B">
        <w:t>–</w:t>
      </w:r>
      <w:r w:rsidRPr="0073551B">
        <w:tab/>
        <w:t>so zreteľom na predbežnú dohodu schválenú gestorským výborom podľa článku 75 ods. 4 rokovacieho poriadku, a na záväzok zástupcu Rady, vyjadrený v liste zo 16. decembra 2025, schváliť pozíciu Európskeho parlamentu v súlade s článkom 294 ods. 4 Zmluvy o fungovaní Európskej únie,</w:t>
      </w:r>
    </w:p>
    <w:p w14:paraId="6C944F71" w14:textId="77777777" w:rsidR="006729BC" w:rsidRPr="0073551B" w:rsidRDefault="006729BC" w:rsidP="006729BC">
      <w:pPr>
        <w:pStyle w:val="NormalHanging12a"/>
      </w:pPr>
      <w:r w:rsidRPr="0073551B">
        <w:lastRenderedPageBreak/>
        <w:t>–</w:t>
      </w:r>
      <w:r w:rsidRPr="0073551B">
        <w:tab/>
        <w:t>so zreteľom na článok 60 rokovacieho poriadku,</w:t>
      </w:r>
    </w:p>
    <w:p w14:paraId="10B891EC" w14:textId="77777777" w:rsidR="006729BC" w:rsidRPr="0073551B" w:rsidRDefault="006729BC" w:rsidP="006729BC">
      <w:pPr>
        <w:pStyle w:val="NormalHanging12a"/>
      </w:pPr>
      <w:r w:rsidRPr="0073551B">
        <w:t>–</w:t>
      </w:r>
      <w:r w:rsidRPr="0073551B">
        <w:tab/>
        <w:t>so zreteľom na správu Výboru pre poľnohospodárstvo a rozvoj vidieka (A10-0220/2025),</w:t>
      </w:r>
    </w:p>
    <w:p w14:paraId="13C2C58E" w14:textId="77777777" w:rsidR="006729BC" w:rsidRPr="0073551B" w:rsidRDefault="006729BC" w:rsidP="006729BC">
      <w:pPr>
        <w:pStyle w:val="NormalHanging12a"/>
      </w:pPr>
      <w:r w:rsidRPr="0073551B">
        <w:t>1.</w:t>
      </w:r>
      <w:r w:rsidRPr="0073551B">
        <w:tab/>
        <w:t>prijíma nasledujúcu pozíciu v prvom čítaní;</w:t>
      </w:r>
    </w:p>
    <w:p w14:paraId="57FE486B" w14:textId="5453A16E" w:rsidR="000852B3" w:rsidRPr="0073551B" w:rsidRDefault="000852B3" w:rsidP="006729BC">
      <w:pPr>
        <w:pStyle w:val="NormalHanging12a"/>
      </w:pPr>
      <w:r w:rsidRPr="0073551B">
        <w:t>2.</w:t>
      </w:r>
      <w:r w:rsidRPr="0073551B">
        <w:tab/>
        <w:t xml:space="preserve">berie na vedomie vyhlásenie Komisie, ktoré je uvedené v prílohe k tomuto uzneseniu a ktoré bude uverejnené v sérii C </w:t>
      </w:r>
      <w:r w:rsidRPr="0073551B">
        <w:rPr>
          <w:i/>
          <w:iCs/>
        </w:rPr>
        <w:t>Úradného vestníka Európskej únie</w:t>
      </w:r>
      <w:r w:rsidRPr="0073551B">
        <w:t>;</w:t>
      </w:r>
    </w:p>
    <w:p w14:paraId="3221A29E" w14:textId="4606A28C" w:rsidR="006729BC" w:rsidRPr="0073551B" w:rsidRDefault="000852B3" w:rsidP="006729BC">
      <w:pPr>
        <w:pStyle w:val="NormalHanging12a"/>
      </w:pPr>
      <w:r w:rsidRPr="0073551B">
        <w:t>3</w:t>
      </w:r>
      <w:r w:rsidR="006729BC" w:rsidRPr="0073551B">
        <w:t>.</w:t>
      </w:r>
      <w:r w:rsidR="006729BC" w:rsidRPr="0073551B">
        <w:tab/>
        <w:t>žiada Komisiu, aby mu vec znovu predložila, ak nahrádza, podstatne mení alebo má v úmysle podstatne zmeniť svoj návrh;</w:t>
      </w:r>
    </w:p>
    <w:p w14:paraId="4F684C8E" w14:textId="0796AF00" w:rsidR="006729BC" w:rsidRPr="0073551B" w:rsidRDefault="000852B3" w:rsidP="006729BC">
      <w:pPr>
        <w:pStyle w:val="NormalHanging12a"/>
      </w:pPr>
      <w:r w:rsidRPr="0073551B">
        <w:t>4</w:t>
      </w:r>
      <w:r w:rsidR="006729BC" w:rsidRPr="0073551B">
        <w:t>.</w:t>
      </w:r>
      <w:r w:rsidR="006729BC" w:rsidRPr="0073551B">
        <w:tab/>
        <w:t>poveruje svoju predsedníčku, aby postúpila túto pozíciu Rade, Komisii a národným parlamentom.</w:t>
      </w:r>
    </w:p>
    <w:p w14:paraId="4C65EA87" w14:textId="77777777" w:rsidR="006729BC" w:rsidRPr="0073551B" w:rsidRDefault="006729BC" w:rsidP="006729BC"/>
    <w:p w14:paraId="0004BA53" w14:textId="77777777" w:rsidR="000852B3" w:rsidRPr="0073551B" w:rsidRDefault="000852B3">
      <w:pPr>
        <w:widowControl/>
        <w:sectPr w:rsidR="000852B3" w:rsidRPr="0073551B" w:rsidSect="007B435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BD6B310" w14:textId="1C34B894" w:rsidR="000852B3" w:rsidRPr="0073551B" w:rsidRDefault="000852B3" w:rsidP="000852B3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73551B">
        <w:rPr>
          <w:b/>
          <w:lang w:val="sk-SK"/>
        </w:rPr>
        <w:lastRenderedPageBreak/>
        <w:t>P10_TC1-COD(2025)0071</w:t>
      </w:r>
    </w:p>
    <w:p w14:paraId="72C9121B" w14:textId="321F36B0" w:rsidR="000852B3" w:rsidRPr="00414D05" w:rsidRDefault="000852B3" w:rsidP="000852B3">
      <w:pPr>
        <w:widowControl/>
        <w:rPr>
          <w:rFonts w:eastAsia="Aptos"/>
          <w:b/>
          <w:kern w:val="2"/>
          <w:szCs w:val="24"/>
          <w:lang w:eastAsia="en-US"/>
          <w14:ligatures w14:val="standardContextual"/>
        </w:rPr>
      </w:pPr>
      <w:r w:rsidRPr="0073551B">
        <w:rPr>
          <w:b/>
        </w:rPr>
        <w:t xml:space="preserve">Pozícia Európskeho parlamentu prijatá v prvom čítaní 10. februára 2026 na účely prijatia nariadenia Európskeho parlamentu a Rady (EÚ) 2026/..., </w:t>
      </w:r>
      <w:r w:rsidRPr="0073551B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ktorým sa menia nariadenia (EÚ) č. 1308/2013, (EÚ) č. 251/2014 a (EÚ) 2021/2115, pokiaľ ide o určité pravidlá trhu a sektorové </w:t>
      </w:r>
      <w:r w:rsidRPr="00414D05">
        <w:rPr>
          <w:rFonts w:eastAsia="Aptos"/>
          <w:b/>
          <w:kern w:val="2"/>
          <w:szCs w:val="24"/>
          <w:lang w:eastAsia="en-US"/>
          <w14:ligatures w14:val="standardContextual"/>
        </w:rPr>
        <w:t>podporné opatrenia v sektore vinohradníctva a vinárstva a pre aromatizované vínne výrobky, a nariadenie (EÚ) 2024/1143, pokiaľ ide o určité pravidlá označovania liehovín</w:t>
      </w:r>
    </w:p>
    <w:p w14:paraId="232D7E9E" w14:textId="77777777" w:rsidR="00414D05" w:rsidRDefault="00414D05" w:rsidP="000852B3">
      <w:pPr>
        <w:widowControl/>
        <w:rPr>
          <w:rFonts w:eastAsia="Aptos"/>
          <w:b/>
          <w:i/>
          <w:iCs/>
          <w:kern w:val="2"/>
          <w:szCs w:val="24"/>
          <w:lang w:eastAsia="en-US"/>
          <w14:ligatures w14:val="standardContextual"/>
        </w:rPr>
      </w:pPr>
    </w:p>
    <w:p w14:paraId="14A82DF2" w14:textId="77777777" w:rsidR="00414D05" w:rsidRDefault="00414D05" w:rsidP="000852B3">
      <w:pPr>
        <w:widowControl/>
        <w:rPr>
          <w:rFonts w:eastAsia="Aptos"/>
          <w:b/>
          <w:i/>
          <w:iCs/>
          <w:kern w:val="2"/>
          <w:szCs w:val="24"/>
          <w:lang w:eastAsia="en-US"/>
          <w14:ligatures w14:val="standardContextual"/>
        </w:rPr>
      </w:pPr>
    </w:p>
    <w:p w14:paraId="030FF3B4" w14:textId="58646C5C" w:rsidR="00414D05" w:rsidRPr="00731EF8" w:rsidRDefault="00414D05" w:rsidP="00414D05">
      <w:r w:rsidRPr="00731EF8">
        <w:rPr>
          <w:i/>
          <w:iCs/>
        </w:rPr>
        <w:t xml:space="preserve">(Keďže bola dosiahnutá dohoda medzi Európskym parlamentom a Radou, pozícia </w:t>
      </w:r>
      <w:r w:rsidRPr="00282CA7">
        <w:rPr>
          <w:i/>
          <w:iCs/>
        </w:rPr>
        <w:t>Európskeho parlamentu zodpovedá záverečnému legislatívnemu aktu, nariadeniu (EÚ) 2026/</w:t>
      </w:r>
      <w:r>
        <w:rPr>
          <w:i/>
          <w:iCs/>
        </w:rPr>
        <w:t>471</w:t>
      </w:r>
      <w:r w:rsidRPr="00282CA7">
        <w:rPr>
          <w:i/>
          <w:iCs/>
        </w:rPr>
        <w:t>.)</w:t>
      </w:r>
    </w:p>
    <w:p w14:paraId="1D760211" w14:textId="77777777" w:rsidR="000852B3" w:rsidRDefault="000852B3" w:rsidP="000852B3">
      <w:pPr>
        <w:widowControl/>
        <w:tabs>
          <w:tab w:val="left" w:pos="5669"/>
        </w:tabs>
        <w:spacing w:line="360" w:lineRule="auto"/>
        <w:rPr>
          <w:rFonts w:eastAsia="Calibri"/>
          <w:i/>
          <w:szCs w:val="22"/>
          <w:lang w:eastAsia="en-US"/>
        </w:rPr>
      </w:pPr>
    </w:p>
    <w:p w14:paraId="19A25127" w14:textId="77777777" w:rsidR="00414D05" w:rsidRPr="0073551B" w:rsidRDefault="00414D05" w:rsidP="000852B3">
      <w:pPr>
        <w:widowControl/>
        <w:tabs>
          <w:tab w:val="left" w:pos="5669"/>
        </w:tabs>
        <w:spacing w:line="360" w:lineRule="auto"/>
        <w:rPr>
          <w:rFonts w:eastAsia="Calibri"/>
          <w:i/>
          <w:szCs w:val="22"/>
          <w:lang w:eastAsia="en-US"/>
        </w:rPr>
      </w:pPr>
    </w:p>
    <w:p w14:paraId="4D90FA68" w14:textId="77777777" w:rsidR="000852B3" w:rsidRPr="0073551B" w:rsidRDefault="000852B3" w:rsidP="000852B3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0852B3" w:rsidRPr="0073551B" w:rsidSect="007B435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339F501" w14:textId="41BBA30D" w:rsidR="000852B3" w:rsidRPr="0073551B" w:rsidRDefault="000852B3" w:rsidP="000852B3">
      <w:pPr>
        <w:widowControl/>
        <w:spacing w:before="120" w:after="120" w:line="360" w:lineRule="auto"/>
        <w:jc w:val="right"/>
        <w:rPr>
          <w:rFonts w:eastAsia="Aptos"/>
          <w:kern w:val="2"/>
          <w:szCs w:val="24"/>
          <w:lang w:eastAsia="en-US"/>
          <w14:ligatures w14:val="standardContextual"/>
        </w:rPr>
      </w:pPr>
      <w:r w:rsidRPr="0073551B">
        <w:rPr>
          <w:rFonts w:eastAsia="Aptos"/>
          <w:kern w:val="2"/>
          <w:szCs w:val="24"/>
          <w:lang w:eastAsia="en-US"/>
          <w14:ligatures w14:val="standardContextual"/>
        </w:rPr>
        <w:lastRenderedPageBreak/>
        <w:t>PRÍLOHA K LEGISLATÍVNEMU UZNESENIU</w:t>
      </w:r>
    </w:p>
    <w:p w14:paraId="7968F7A5" w14:textId="77777777" w:rsidR="000852B3" w:rsidRPr="0073551B" w:rsidRDefault="000852B3" w:rsidP="000852B3">
      <w:pPr>
        <w:widowControl/>
        <w:spacing w:before="120" w:after="120" w:line="360" w:lineRule="auto"/>
        <w:jc w:val="right"/>
        <w:rPr>
          <w:rFonts w:eastAsia="Aptos"/>
          <w:kern w:val="2"/>
          <w:szCs w:val="24"/>
          <w:lang w:eastAsia="en-US"/>
          <w14:ligatures w14:val="standardContextual"/>
        </w:rPr>
      </w:pPr>
    </w:p>
    <w:p w14:paraId="36607C62" w14:textId="1EF48F21" w:rsidR="000852B3" w:rsidRPr="0073551B" w:rsidRDefault="000852B3" w:rsidP="0073551B">
      <w:pPr>
        <w:spacing w:before="120" w:after="120" w:line="360" w:lineRule="auto"/>
        <w:jc w:val="center"/>
      </w:pPr>
      <w:r w:rsidRPr="0073551B">
        <w:t>Vyhlásenie Komisie pri príležitosti prijatia nariadenia Európskeho parlamentu a Rady (EÚ) 2026/</w:t>
      </w:r>
      <w:r w:rsidR="00414D05">
        <w:t>471</w:t>
      </w:r>
      <w:r w:rsidRPr="0073551B">
        <w:t xml:space="preserve"> z</w:t>
      </w:r>
      <w:r w:rsidR="00414D05">
        <w:t> 24. februára</w:t>
      </w:r>
      <w:r w:rsidRPr="0073551B">
        <w:t xml:space="preserve"> 2026</w:t>
      </w:r>
      <w:r w:rsidR="00414D05" w:rsidRPr="00414D05">
        <w:rPr>
          <w:rStyle w:val="FootnoteReference"/>
          <w:rFonts w:eastAsia="Aptos"/>
          <w:kern w:val="2"/>
          <w:szCs w:val="24"/>
          <w:lang w:eastAsia="en-US"/>
          <w14:ligatures w14:val="standardContextual"/>
        </w:rPr>
        <w:footnoteReference w:id="3"/>
      </w:r>
      <w:r w:rsidRPr="00414D05">
        <w:t>,</w:t>
      </w:r>
      <w:r w:rsidRPr="0073551B">
        <w:t xml:space="preserve"> ktorým sa menia nariadenia (EÚ) č. 1308/2013, (EÚ) č. 251/2014 a (EÚ) 2021/2115, pokiaľ ide o určité pravidlá trhu a sektorové podporné opatrenia v sektore vinohradníctva a vinárstva a pre aromatizované vínne výrobky, a nariadenie (EÚ) 2024/1143, pokiaľ ide o určité pravidlá označovania liehovín</w:t>
      </w:r>
    </w:p>
    <w:p w14:paraId="7C0C9E5B" w14:textId="77777777" w:rsidR="000852B3" w:rsidRPr="0073551B" w:rsidRDefault="000852B3" w:rsidP="000852B3">
      <w:pPr>
        <w:spacing w:before="120" w:after="120" w:line="360" w:lineRule="auto"/>
      </w:pPr>
      <w:r w:rsidRPr="0073551B">
        <w:t xml:space="preserve">Komisia vynaloží maximálne úsilie, aby v roku 2026 predložila príslušnej expertnej skupine alebo výboru: </w:t>
      </w:r>
    </w:p>
    <w:p w14:paraId="01A39428" w14:textId="0436936E" w:rsidR="000852B3" w:rsidRPr="0073551B" w:rsidRDefault="0065413C" w:rsidP="0065413C">
      <w:pPr>
        <w:widowControl/>
        <w:spacing w:before="120" w:after="120" w:line="360" w:lineRule="auto"/>
        <w:ind w:left="851" w:hanging="851"/>
      </w:pPr>
      <w:r w:rsidRPr="0073551B">
        <w:t>1.</w:t>
      </w:r>
      <w:r w:rsidRPr="0073551B">
        <w:tab/>
      </w:r>
      <w:r w:rsidR="000852B3" w:rsidRPr="0073551B">
        <w:t xml:space="preserve">návrh vykonávacieho aktu, ktorým sa zmení nariadenie (EÚ) 2018/274, pokiaľ ide o možnosť predĺžiť uplatňovanie </w:t>
      </w:r>
      <w:r w:rsidR="000852B3" w:rsidRPr="0073551B">
        <w:rPr>
          <w:b/>
        </w:rPr>
        <w:t>zjednodušeného postupu udeľovania povolení na opätovnú výsadbu</w:t>
      </w:r>
      <w:r w:rsidR="000852B3" w:rsidRPr="0073551B">
        <w:t xml:space="preserve"> stanoveného v článku 9 uvedeného nariadenia;</w:t>
      </w:r>
    </w:p>
    <w:p w14:paraId="7B77866A" w14:textId="67B775FF" w:rsidR="000852B3" w:rsidRPr="0073551B" w:rsidRDefault="0065413C" w:rsidP="0065413C">
      <w:pPr>
        <w:widowControl/>
        <w:spacing w:before="120" w:after="120" w:line="360" w:lineRule="auto"/>
        <w:ind w:left="851" w:hanging="851"/>
      </w:pPr>
      <w:r w:rsidRPr="0073551B">
        <w:t>2.</w:t>
      </w:r>
      <w:r w:rsidRPr="0073551B">
        <w:tab/>
      </w:r>
      <w:r w:rsidR="000852B3" w:rsidRPr="0073551B">
        <w:t xml:space="preserve">návrh zmeny delegovaného nariadenia Komisie (EÚ) 2019/33 s cieľom vymedziť systém Únie na identifikáciu údajov uvedených na obale alebo etikete vinárskych výrobkov </w:t>
      </w:r>
      <w:r w:rsidR="000852B3" w:rsidRPr="0073551B">
        <w:rPr>
          <w:b/>
        </w:rPr>
        <w:t>elektronickými prostriedkami</w:t>
      </w:r>
      <w:r w:rsidR="000852B3" w:rsidRPr="0073551B">
        <w:t xml:space="preserve"> v zmysle článku 119 ods. 4 a 5 nariadenia (EÚ) č. 1308/2013;</w:t>
      </w:r>
    </w:p>
    <w:p w14:paraId="336C8014" w14:textId="6A5C084E" w:rsidR="000852B3" w:rsidRPr="0073551B" w:rsidRDefault="0065413C" w:rsidP="0065413C">
      <w:pPr>
        <w:widowControl/>
        <w:spacing w:before="120" w:after="120" w:line="360" w:lineRule="auto"/>
        <w:ind w:left="851" w:hanging="851"/>
      </w:pPr>
      <w:r w:rsidRPr="0073551B">
        <w:t>3.</w:t>
      </w:r>
      <w:r w:rsidRPr="0073551B">
        <w:tab/>
      </w:r>
      <w:r w:rsidR="000852B3" w:rsidRPr="0073551B">
        <w:t xml:space="preserve">návrh zmeny delegovaného nariadenia Komisie (EÚ) 2019/934 s cieľom zahrnúť do </w:t>
      </w:r>
      <w:r w:rsidR="000852B3" w:rsidRPr="0073551B">
        <w:rPr>
          <w:b/>
        </w:rPr>
        <w:t>vymedzenia pojmu „</w:t>
      </w:r>
      <w:proofErr w:type="spellStart"/>
      <w:r w:rsidR="000852B3" w:rsidRPr="0073551B">
        <w:rPr>
          <w:b/>
        </w:rPr>
        <w:t>kupáž</w:t>
      </w:r>
      <w:proofErr w:type="spellEnd"/>
      <w:r w:rsidR="000852B3" w:rsidRPr="0073551B">
        <w:rPr>
          <w:b/>
        </w:rPr>
        <w:t>“</w:t>
      </w:r>
      <w:r w:rsidR="000852B3" w:rsidRPr="0073551B">
        <w:t xml:space="preserve"> („sceľovanie“) možnosť sceľovať </w:t>
      </w:r>
      <w:proofErr w:type="spellStart"/>
      <w:r w:rsidR="000852B3" w:rsidRPr="0073551B">
        <w:t>odalkoholizované</w:t>
      </w:r>
      <w:proofErr w:type="spellEnd"/>
      <w:r w:rsidR="000852B3" w:rsidRPr="0073551B">
        <w:t xml:space="preserve"> alebo čiastočne </w:t>
      </w:r>
      <w:proofErr w:type="spellStart"/>
      <w:r w:rsidR="000852B3" w:rsidRPr="0073551B">
        <w:t>odalkoholizované</w:t>
      </w:r>
      <w:proofErr w:type="spellEnd"/>
      <w:r w:rsidR="000852B3" w:rsidRPr="0073551B">
        <w:t xml:space="preserve"> vína s tichými vínami na výrobu čiastočne </w:t>
      </w:r>
      <w:proofErr w:type="spellStart"/>
      <w:r w:rsidR="000852B3" w:rsidRPr="0073551B">
        <w:t>odalkoholizovaných</w:t>
      </w:r>
      <w:proofErr w:type="spellEnd"/>
      <w:r w:rsidR="000852B3" w:rsidRPr="0073551B">
        <w:t xml:space="preserve"> vín;</w:t>
      </w:r>
    </w:p>
    <w:p w14:paraId="79224195" w14:textId="2B0E3F37" w:rsidR="000852B3" w:rsidRPr="0073551B" w:rsidRDefault="0065413C" w:rsidP="00414D05">
      <w:pPr>
        <w:widowControl/>
        <w:spacing w:before="120" w:after="120" w:line="360" w:lineRule="auto"/>
        <w:ind w:left="851" w:hanging="851"/>
        <w:rPr>
          <w:rFonts w:eastAsia="Aptos"/>
          <w:kern w:val="2"/>
          <w:szCs w:val="24"/>
          <w:lang w:eastAsia="en-US"/>
          <w14:ligatures w14:val="standardContextual"/>
        </w:rPr>
      </w:pPr>
      <w:r w:rsidRPr="0073551B">
        <w:t>4.</w:t>
      </w:r>
      <w:r w:rsidRPr="0073551B">
        <w:tab/>
      </w:r>
      <w:r w:rsidR="000852B3" w:rsidRPr="0073551B">
        <w:t xml:space="preserve">návrh delegovaného aktu, ktorým sa stanovia podmienky </w:t>
      </w:r>
      <w:r w:rsidR="000852B3" w:rsidRPr="0073551B">
        <w:rPr>
          <w:b/>
        </w:rPr>
        <w:t>vyklčovania opustených vinohradov</w:t>
      </w:r>
      <w:r w:rsidR="000852B3" w:rsidRPr="0073551B">
        <w:t xml:space="preserve"> podľa nového článku 62 ods. 6 nariadenia (EÚ) č. 1308/2013.</w:t>
      </w:r>
    </w:p>
    <w:sectPr w:rsidR="000852B3" w:rsidRPr="0073551B" w:rsidSect="007B435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51BFF" w14:textId="77777777" w:rsidR="00AE0631" w:rsidRPr="007B4352" w:rsidRDefault="00AE0631">
      <w:r w:rsidRPr="007B4352">
        <w:separator/>
      </w:r>
    </w:p>
  </w:endnote>
  <w:endnote w:type="continuationSeparator" w:id="0">
    <w:p w14:paraId="595D2324" w14:textId="77777777" w:rsidR="00AE0631" w:rsidRPr="007B4352" w:rsidRDefault="00AE0631">
      <w:r w:rsidRPr="007B43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2701" w14:textId="77777777" w:rsidR="00064002" w:rsidRPr="007B43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3EFEC" w14:textId="77777777" w:rsidR="00064002" w:rsidRPr="007B43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6977" w14:textId="77777777" w:rsidR="00064002" w:rsidRPr="007B43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A8039" w14:textId="77777777" w:rsidR="00AE0631" w:rsidRPr="007B4352" w:rsidRDefault="00AE0631">
      <w:r w:rsidRPr="007B4352">
        <w:separator/>
      </w:r>
    </w:p>
  </w:footnote>
  <w:footnote w:type="continuationSeparator" w:id="0">
    <w:p w14:paraId="7C1EEC0E" w14:textId="77777777" w:rsidR="00AE0631" w:rsidRPr="007B4352" w:rsidRDefault="00AE0631">
      <w:r w:rsidRPr="007B4352">
        <w:continuationSeparator/>
      </w:r>
    </w:p>
  </w:footnote>
  <w:footnote w:id="1">
    <w:p w14:paraId="48C405CD" w14:textId="1CE8F84D" w:rsidR="006729BC" w:rsidRPr="000852B3" w:rsidRDefault="006729BC" w:rsidP="007B4352">
      <w:pPr>
        <w:pStyle w:val="FootnoteText"/>
        <w:ind w:left="567" w:hanging="567"/>
        <w:rPr>
          <w:sz w:val="24"/>
          <w:szCs w:val="24"/>
          <w:lang w:val="sk-SK"/>
        </w:rPr>
      </w:pPr>
      <w:r w:rsidRPr="000852B3">
        <w:rPr>
          <w:rStyle w:val="FootnoteReference"/>
          <w:sz w:val="24"/>
          <w:szCs w:val="24"/>
          <w:lang w:val="sk-SK"/>
        </w:rPr>
        <w:footnoteRef/>
      </w:r>
      <w:r w:rsidR="007B4352" w:rsidRPr="000852B3">
        <w:rPr>
          <w:sz w:val="24"/>
          <w:szCs w:val="24"/>
          <w:lang w:val="sk-SK"/>
        </w:rPr>
        <w:t xml:space="preserve"> </w:t>
      </w:r>
      <w:r w:rsidR="007B4352" w:rsidRPr="000852B3">
        <w:rPr>
          <w:sz w:val="24"/>
          <w:szCs w:val="24"/>
          <w:lang w:val="sk-SK"/>
        </w:rPr>
        <w:tab/>
      </w:r>
      <w:r w:rsidRPr="000852B3">
        <w:rPr>
          <w:sz w:val="24"/>
          <w:szCs w:val="24"/>
          <w:lang w:val="sk-SK"/>
        </w:rPr>
        <w:t>Ú. v. EÚ C</w:t>
      </w:r>
      <w:r w:rsidR="0045194C" w:rsidRPr="000852B3">
        <w:rPr>
          <w:sz w:val="24"/>
          <w:szCs w:val="24"/>
          <w:lang w:val="sk-SK"/>
        </w:rPr>
        <w:t xml:space="preserve">, C/2025/5161, 28.10.2025, ELI: </w:t>
      </w:r>
      <w:hyperlink r:id="rId1" w:history="1">
        <w:r w:rsidR="0045194C" w:rsidRPr="000852B3">
          <w:rPr>
            <w:rStyle w:val="Hyperlink"/>
            <w:sz w:val="24"/>
            <w:szCs w:val="24"/>
            <w:lang w:val="sk-SK"/>
          </w:rPr>
          <w:t>http://data.europa.eu/eli/C/2025/5161/oj</w:t>
        </w:r>
      </w:hyperlink>
      <w:r w:rsidRPr="000852B3">
        <w:rPr>
          <w:sz w:val="24"/>
          <w:szCs w:val="24"/>
          <w:lang w:val="sk-SK"/>
        </w:rPr>
        <w:t>.</w:t>
      </w:r>
    </w:p>
  </w:footnote>
  <w:footnote w:id="2">
    <w:p w14:paraId="231F69D5" w14:textId="5203C1D0" w:rsidR="006729BC" w:rsidRPr="000852B3" w:rsidRDefault="006729BC" w:rsidP="007B4352">
      <w:pPr>
        <w:pStyle w:val="FootnoteText"/>
        <w:ind w:left="567" w:hanging="567"/>
        <w:rPr>
          <w:sz w:val="24"/>
          <w:szCs w:val="24"/>
          <w:lang w:val="sk-SK"/>
        </w:rPr>
      </w:pPr>
      <w:r w:rsidRPr="000852B3">
        <w:rPr>
          <w:rStyle w:val="FootnoteReference"/>
          <w:sz w:val="24"/>
          <w:szCs w:val="24"/>
          <w:lang w:val="sk-SK"/>
        </w:rPr>
        <w:footnoteRef/>
      </w:r>
      <w:r w:rsidR="007B4352" w:rsidRPr="000852B3">
        <w:rPr>
          <w:sz w:val="24"/>
          <w:szCs w:val="24"/>
          <w:lang w:val="sk-SK"/>
        </w:rPr>
        <w:t xml:space="preserve"> </w:t>
      </w:r>
      <w:r w:rsidR="007B4352" w:rsidRPr="000852B3">
        <w:rPr>
          <w:sz w:val="24"/>
          <w:szCs w:val="24"/>
          <w:lang w:val="sk-SK"/>
        </w:rPr>
        <w:tab/>
      </w:r>
      <w:r w:rsidRPr="000852B3">
        <w:rPr>
          <w:sz w:val="24"/>
          <w:szCs w:val="24"/>
          <w:lang w:val="sk-SK"/>
        </w:rPr>
        <w:t>Ú. v. </w:t>
      </w:r>
      <w:r w:rsidRPr="000852B3">
        <w:rPr>
          <w:sz w:val="24"/>
          <w:szCs w:val="24"/>
          <w:lang w:val="sk-SK"/>
        </w:rPr>
        <w:t>EÚ C</w:t>
      </w:r>
      <w:r w:rsidR="0045194C" w:rsidRPr="000852B3">
        <w:rPr>
          <w:sz w:val="24"/>
          <w:szCs w:val="24"/>
          <w:lang w:val="sk-SK"/>
        </w:rPr>
        <w:t xml:space="preserve">, C/2025/4418, 29.8.2025, ELI: </w:t>
      </w:r>
      <w:hyperlink r:id="rId2" w:history="1">
        <w:r w:rsidR="0045194C" w:rsidRPr="000852B3">
          <w:rPr>
            <w:rStyle w:val="Hyperlink"/>
            <w:sz w:val="24"/>
            <w:szCs w:val="24"/>
            <w:lang w:val="sk-SK"/>
          </w:rPr>
          <w:t>http://data.europa.eu/eli/C/2025/4418/oj</w:t>
        </w:r>
      </w:hyperlink>
      <w:r w:rsidRPr="000852B3">
        <w:rPr>
          <w:sz w:val="24"/>
          <w:szCs w:val="24"/>
          <w:lang w:val="sk-SK"/>
        </w:rPr>
        <w:t>.</w:t>
      </w:r>
    </w:p>
  </w:footnote>
  <w:footnote w:id="3">
    <w:p w14:paraId="2723A73A" w14:textId="71298A09" w:rsidR="00414D05" w:rsidRPr="005A0C6D" w:rsidRDefault="00414D05" w:rsidP="00414D05">
      <w:pPr>
        <w:pStyle w:val="FootnoteText"/>
        <w:ind w:left="709" w:hanging="709"/>
        <w:rPr>
          <w:sz w:val="24"/>
          <w:szCs w:val="24"/>
          <w:lang w:val="sk-SK"/>
        </w:rPr>
      </w:pPr>
      <w:r w:rsidRPr="005A0C6D">
        <w:rPr>
          <w:rStyle w:val="FootnoteReference"/>
          <w:sz w:val="24"/>
          <w:szCs w:val="24"/>
        </w:rPr>
        <w:footnoteRef/>
      </w:r>
      <w:r w:rsidRPr="005A0C6D">
        <w:rPr>
          <w:sz w:val="24"/>
          <w:szCs w:val="24"/>
          <w:lang w:val="fi-FI"/>
        </w:rPr>
        <w:t xml:space="preserve"> </w:t>
      </w:r>
      <w:r w:rsidRPr="005A0C6D">
        <w:rPr>
          <w:sz w:val="24"/>
          <w:szCs w:val="24"/>
          <w:lang w:val="sk-SK"/>
        </w:rPr>
        <w:tab/>
      </w:r>
      <w:r w:rsidRPr="005A0C6D">
        <w:rPr>
          <w:sz w:val="24"/>
          <w:szCs w:val="24"/>
          <w:lang w:val="sk-SK"/>
        </w:rPr>
        <w:t xml:space="preserve">Ú. v. EÚ L, 2026/471, 26.2.2026, ELI: </w:t>
      </w:r>
      <w:hyperlink r:id="rId3" w:history="1">
        <w:r w:rsidRPr="005A0C6D">
          <w:rPr>
            <w:rStyle w:val="Hyperlink"/>
            <w:sz w:val="24"/>
            <w:szCs w:val="24"/>
            <w:lang w:val="sk-SK"/>
          </w:rPr>
          <w:t>http://data.europa.eu/eli/reg/2026/471/oj</w:t>
        </w:r>
      </w:hyperlink>
      <w:r w:rsidRPr="005A0C6D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45D0A" w14:textId="77777777" w:rsidR="00064002" w:rsidRPr="007B43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A7C1" w14:textId="77777777" w:rsidR="00064002" w:rsidRPr="007B43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1E5DE" w14:textId="77777777" w:rsidR="00064002" w:rsidRPr="007B43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47D7F45"/>
    <w:multiLevelType w:val="hybridMultilevel"/>
    <w:tmpl w:val="A73C1BA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5994146">
    <w:abstractNumId w:val="9"/>
  </w:num>
  <w:num w:numId="2" w16cid:durableId="1016151728">
    <w:abstractNumId w:val="9"/>
  </w:num>
  <w:num w:numId="3" w16cid:durableId="634481737">
    <w:abstractNumId w:val="7"/>
  </w:num>
  <w:num w:numId="4" w16cid:durableId="742726126">
    <w:abstractNumId w:val="7"/>
  </w:num>
  <w:num w:numId="5" w16cid:durableId="707878273">
    <w:abstractNumId w:val="6"/>
  </w:num>
  <w:num w:numId="6" w16cid:durableId="338582739">
    <w:abstractNumId w:val="6"/>
  </w:num>
  <w:num w:numId="7" w16cid:durableId="1041904635">
    <w:abstractNumId w:val="5"/>
  </w:num>
  <w:num w:numId="8" w16cid:durableId="1938752610">
    <w:abstractNumId w:val="5"/>
  </w:num>
  <w:num w:numId="9" w16cid:durableId="201600582">
    <w:abstractNumId w:val="4"/>
  </w:num>
  <w:num w:numId="10" w16cid:durableId="871382609">
    <w:abstractNumId w:val="4"/>
  </w:num>
  <w:num w:numId="11" w16cid:durableId="1949122854">
    <w:abstractNumId w:val="8"/>
  </w:num>
  <w:num w:numId="12" w16cid:durableId="1759133165">
    <w:abstractNumId w:val="8"/>
  </w:num>
  <w:num w:numId="13" w16cid:durableId="335114063">
    <w:abstractNumId w:val="3"/>
  </w:num>
  <w:num w:numId="14" w16cid:durableId="122117696">
    <w:abstractNumId w:val="3"/>
  </w:num>
  <w:num w:numId="15" w16cid:durableId="1107700423">
    <w:abstractNumId w:val="2"/>
  </w:num>
  <w:num w:numId="16" w16cid:durableId="1504710376">
    <w:abstractNumId w:val="2"/>
  </w:num>
  <w:num w:numId="17" w16cid:durableId="917599353">
    <w:abstractNumId w:val="1"/>
  </w:num>
  <w:num w:numId="18" w16cid:durableId="1486505861">
    <w:abstractNumId w:val="1"/>
  </w:num>
  <w:num w:numId="19" w16cid:durableId="1658146869">
    <w:abstractNumId w:val="0"/>
  </w:num>
  <w:num w:numId="20" w16cid:durableId="1660648549">
    <w:abstractNumId w:val="0"/>
  </w:num>
  <w:num w:numId="21" w16cid:durableId="747504173">
    <w:abstractNumId w:val="9"/>
  </w:num>
  <w:num w:numId="22" w16cid:durableId="1378507726">
    <w:abstractNumId w:val="7"/>
  </w:num>
  <w:num w:numId="23" w16cid:durableId="400560564">
    <w:abstractNumId w:val="6"/>
  </w:num>
  <w:num w:numId="24" w16cid:durableId="903023537">
    <w:abstractNumId w:val="5"/>
  </w:num>
  <w:num w:numId="25" w16cid:durableId="1315642558">
    <w:abstractNumId w:val="4"/>
  </w:num>
  <w:num w:numId="26" w16cid:durableId="1537619188">
    <w:abstractNumId w:val="8"/>
  </w:num>
  <w:num w:numId="27" w16cid:durableId="1937907612">
    <w:abstractNumId w:val="3"/>
  </w:num>
  <w:num w:numId="28" w16cid:durableId="474566523">
    <w:abstractNumId w:val="2"/>
  </w:num>
  <w:num w:numId="29" w16cid:durableId="1134173940">
    <w:abstractNumId w:val="1"/>
  </w:num>
  <w:num w:numId="30" w16cid:durableId="170223738">
    <w:abstractNumId w:val="0"/>
  </w:num>
  <w:num w:numId="31" w16cid:durableId="1707557463">
    <w:abstractNumId w:val="9"/>
  </w:num>
  <w:num w:numId="32" w16cid:durableId="589119882">
    <w:abstractNumId w:val="7"/>
  </w:num>
  <w:num w:numId="33" w16cid:durableId="696546076">
    <w:abstractNumId w:val="6"/>
  </w:num>
  <w:num w:numId="34" w16cid:durableId="304899046">
    <w:abstractNumId w:val="5"/>
  </w:num>
  <w:num w:numId="35" w16cid:durableId="76485783">
    <w:abstractNumId w:val="4"/>
  </w:num>
  <w:num w:numId="36" w16cid:durableId="1405491330">
    <w:abstractNumId w:val="8"/>
  </w:num>
  <w:num w:numId="37" w16cid:durableId="59450849">
    <w:abstractNumId w:val="3"/>
  </w:num>
  <w:num w:numId="38" w16cid:durableId="467162915">
    <w:abstractNumId w:val="2"/>
  </w:num>
  <w:num w:numId="39" w16cid:durableId="1480266771">
    <w:abstractNumId w:val="1"/>
  </w:num>
  <w:num w:numId="40" w16cid:durableId="1396051682">
    <w:abstractNumId w:val="0"/>
  </w:num>
  <w:num w:numId="41" w16cid:durableId="1078550428">
    <w:abstractNumId w:val="10"/>
  </w:num>
  <w:num w:numId="42" w16cid:durableId="847019056">
    <w:abstractNumId w:val="10"/>
  </w:num>
  <w:num w:numId="43" w16cid:durableId="1604679420">
    <w:abstractNumId w:val="10"/>
  </w:num>
  <w:num w:numId="44" w16cid:durableId="1225262408">
    <w:abstractNumId w:val="11"/>
  </w:num>
  <w:num w:numId="45" w16cid:durableId="8863387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SK"/>
    <w:docVar w:name="dvnumam" w:val="91"/>
    <w:docVar w:name="dvpe" w:val="774.316"/>
    <w:docVar w:name="dvrapporteur" w:val="Spravodajkyňa: "/>
    <w:docVar w:name="dvstar" w:val="***I"/>
    <w:docVar w:name="dvtitre" w:val="Legislatívne uznesenie Európskeho parlamentu z/zo xx. xxx 2026 o návrhu nariadenia Európskeho parlamentu a Rady, ktorým sa menia nariadenia (EÚ) č. 1308/2013, (EÚ) 2021/2115 a (EÚ) č. 251/2014, pokiaľ ide o určité pravidlá trhu a sektorové podporné opatrenia v sektore vinohradníctva a vinárstva a pre aromatizované vínne výrobky(COM(2025)0137 – C10-0058/2025 – 2025/0071(COD))"/>
  </w:docVars>
  <w:rsids>
    <w:rsidRoot w:val="00AE0631"/>
    <w:rsid w:val="00002272"/>
    <w:rsid w:val="00064002"/>
    <w:rsid w:val="000677B9"/>
    <w:rsid w:val="000831BA"/>
    <w:rsid w:val="000852B3"/>
    <w:rsid w:val="000A42CC"/>
    <w:rsid w:val="000E7DD9"/>
    <w:rsid w:val="0010095E"/>
    <w:rsid w:val="00112E7C"/>
    <w:rsid w:val="00125B37"/>
    <w:rsid w:val="001330A5"/>
    <w:rsid w:val="00187494"/>
    <w:rsid w:val="001D647F"/>
    <w:rsid w:val="001F32AE"/>
    <w:rsid w:val="00200A32"/>
    <w:rsid w:val="002767FF"/>
    <w:rsid w:val="002B18FE"/>
    <w:rsid w:val="002B5493"/>
    <w:rsid w:val="00343214"/>
    <w:rsid w:val="00361C00"/>
    <w:rsid w:val="00395FA1"/>
    <w:rsid w:val="003E15D4"/>
    <w:rsid w:val="003E7AD5"/>
    <w:rsid w:val="00411CCE"/>
    <w:rsid w:val="00414D05"/>
    <w:rsid w:val="0041666E"/>
    <w:rsid w:val="00421060"/>
    <w:rsid w:val="0045194C"/>
    <w:rsid w:val="00471C19"/>
    <w:rsid w:val="00481F9C"/>
    <w:rsid w:val="004867E3"/>
    <w:rsid w:val="00494A28"/>
    <w:rsid w:val="004A5EFC"/>
    <w:rsid w:val="004C0004"/>
    <w:rsid w:val="004C5D52"/>
    <w:rsid w:val="0050519A"/>
    <w:rsid w:val="005072A1"/>
    <w:rsid w:val="00514517"/>
    <w:rsid w:val="00514FF6"/>
    <w:rsid w:val="00545827"/>
    <w:rsid w:val="00560270"/>
    <w:rsid w:val="005A0C6D"/>
    <w:rsid w:val="005B5F32"/>
    <w:rsid w:val="005C2568"/>
    <w:rsid w:val="005F1B17"/>
    <w:rsid w:val="006037C0"/>
    <w:rsid w:val="0065413C"/>
    <w:rsid w:val="006631B6"/>
    <w:rsid w:val="006729BC"/>
    <w:rsid w:val="00680577"/>
    <w:rsid w:val="006B5A6F"/>
    <w:rsid w:val="006E0542"/>
    <w:rsid w:val="006E7DC2"/>
    <w:rsid w:val="006F5967"/>
    <w:rsid w:val="006F74FA"/>
    <w:rsid w:val="00731ADD"/>
    <w:rsid w:val="00734777"/>
    <w:rsid w:val="0073551B"/>
    <w:rsid w:val="00741865"/>
    <w:rsid w:val="00747932"/>
    <w:rsid w:val="00751A4A"/>
    <w:rsid w:val="00754B3B"/>
    <w:rsid w:val="00756632"/>
    <w:rsid w:val="00756743"/>
    <w:rsid w:val="0075684C"/>
    <w:rsid w:val="00762C74"/>
    <w:rsid w:val="00786EC0"/>
    <w:rsid w:val="007A6D85"/>
    <w:rsid w:val="007B435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39A"/>
    <w:rsid w:val="00981893"/>
    <w:rsid w:val="009B2276"/>
    <w:rsid w:val="009B766D"/>
    <w:rsid w:val="00A07DD6"/>
    <w:rsid w:val="00A1687D"/>
    <w:rsid w:val="00A43E52"/>
    <w:rsid w:val="00A4678D"/>
    <w:rsid w:val="00A778C7"/>
    <w:rsid w:val="00AB441E"/>
    <w:rsid w:val="00AB6293"/>
    <w:rsid w:val="00AE0631"/>
    <w:rsid w:val="00AE0928"/>
    <w:rsid w:val="00AF3B82"/>
    <w:rsid w:val="00B00DFB"/>
    <w:rsid w:val="00B029FF"/>
    <w:rsid w:val="00B12E95"/>
    <w:rsid w:val="00B22876"/>
    <w:rsid w:val="00B37E9D"/>
    <w:rsid w:val="00B4364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D0A"/>
    <w:rsid w:val="00D058B8"/>
    <w:rsid w:val="00D56C11"/>
    <w:rsid w:val="00D834A0"/>
    <w:rsid w:val="00D872DF"/>
    <w:rsid w:val="00D91E21"/>
    <w:rsid w:val="00DA2D6C"/>
    <w:rsid w:val="00DA7FCD"/>
    <w:rsid w:val="00E0405E"/>
    <w:rsid w:val="00E115CD"/>
    <w:rsid w:val="00E365E1"/>
    <w:rsid w:val="00E45D21"/>
    <w:rsid w:val="00E820A4"/>
    <w:rsid w:val="00E9266B"/>
    <w:rsid w:val="00EB006A"/>
    <w:rsid w:val="00EB4772"/>
    <w:rsid w:val="00ED169E"/>
    <w:rsid w:val="00ED4235"/>
    <w:rsid w:val="00F04346"/>
    <w:rsid w:val="00F075DC"/>
    <w:rsid w:val="00F149E9"/>
    <w:rsid w:val="00F45D32"/>
    <w:rsid w:val="00F5134D"/>
    <w:rsid w:val="00F51365"/>
    <w:rsid w:val="00F5289C"/>
    <w:rsid w:val="00F53DF7"/>
    <w:rsid w:val="00F74202"/>
    <w:rsid w:val="00F87713"/>
    <w:rsid w:val="00FB4360"/>
    <w:rsid w:val="00FD0C70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D2A2D"/>
  <w15:chartTrackingRefBased/>
  <w15:docId w15:val="{5452073C-9F71-4E3F-AD75-FB9925109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729B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729B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729B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729B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729B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729BC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6729BC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6729BC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6729BC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nhideWhenUsed/>
    <w:qFormat/>
    <w:rsid w:val="006729B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729B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729B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729BC"/>
    <w:pPr>
      <w:spacing w:after="120"/>
    </w:pPr>
  </w:style>
  <w:style w:type="paragraph" w:customStyle="1" w:styleId="PageHeading">
    <w:name w:val="PageHeading"/>
    <w:basedOn w:val="Normal"/>
    <w:rsid w:val="006729B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729B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6729BC"/>
    <w:rPr>
      <w:b/>
      <w:sz w:val="24"/>
      <w:lang w:val="sk-SK"/>
    </w:rPr>
  </w:style>
  <w:style w:type="paragraph" w:customStyle="1" w:styleId="NormalBold12a">
    <w:name w:val="NormalBold12a"/>
    <w:basedOn w:val="Normal"/>
    <w:rsid w:val="006729BC"/>
    <w:pPr>
      <w:spacing w:after="240"/>
    </w:pPr>
    <w:rPr>
      <w:b/>
    </w:rPr>
  </w:style>
  <w:style w:type="paragraph" w:customStyle="1" w:styleId="AmJustText">
    <w:name w:val="AmJustText"/>
    <w:basedOn w:val="Normal"/>
    <w:rsid w:val="006729B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729B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729BC"/>
    <w:pPr>
      <w:spacing w:after="480"/>
      <w:ind w:left="1417"/>
    </w:pPr>
  </w:style>
  <w:style w:type="paragraph" w:customStyle="1" w:styleId="CoverNormal">
    <w:name w:val="CoverNormal"/>
    <w:basedOn w:val="Normal"/>
    <w:rsid w:val="006729BC"/>
    <w:pPr>
      <w:ind w:left="1418"/>
    </w:pPr>
  </w:style>
  <w:style w:type="paragraph" w:customStyle="1" w:styleId="AmCrossRef">
    <w:name w:val="AmCrossRef"/>
    <w:basedOn w:val="Normal"/>
    <w:rsid w:val="006729B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729B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729B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729B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729B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729BC"/>
    <w:pPr>
      <w:spacing w:before="240" w:after="1200"/>
    </w:pPr>
  </w:style>
  <w:style w:type="paragraph" w:styleId="Header">
    <w:name w:val="header"/>
    <w:basedOn w:val="Normal"/>
    <w:link w:val="HeaderChar"/>
    <w:rsid w:val="006729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729BC"/>
    <w:rPr>
      <w:sz w:val="24"/>
      <w:lang w:val="sk-SK"/>
    </w:rPr>
  </w:style>
  <w:style w:type="paragraph" w:customStyle="1" w:styleId="AmOrLang">
    <w:name w:val="AmOrLang"/>
    <w:basedOn w:val="Normal"/>
    <w:rsid w:val="006729B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729B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729B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729BC"/>
    <w:pPr>
      <w:spacing w:before="240"/>
    </w:pPr>
    <w:rPr>
      <w:b/>
    </w:rPr>
  </w:style>
  <w:style w:type="paragraph" w:customStyle="1" w:styleId="EPBody">
    <w:name w:val="EPBody"/>
    <w:basedOn w:val="Normal"/>
    <w:rsid w:val="006729B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729B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729BC"/>
    <w:pPr>
      <w:spacing w:before="480" w:after="240"/>
    </w:pPr>
  </w:style>
  <w:style w:type="paragraph" w:customStyle="1" w:styleId="Lgendesigne">
    <w:name w:val="Légende signe"/>
    <w:basedOn w:val="Normal"/>
    <w:rsid w:val="006729B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729B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729BC"/>
    <w:rPr>
      <w:sz w:val="18"/>
    </w:rPr>
  </w:style>
  <w:style w:type="character" w:customStyle="1" w:styleId="FooterChar">
    <w:name w:val="Footer Char"/>
    <w:basedOn w:val="DefaultParagraphFont"/>
    <w:link w:val="Footer"/>
    <w:rsid w:val="006729BC"/>
    <w:rPr>
      <w:sz w:val="22"/>
    </w:rPr>
  </w:style>
  <w:style w:type="paragraph" w:styleId="Footer">
    <w:name w:val="footer"/>
    <w:link w:val="FooterChar"/>
    <w:unhideWhenUsed/>
    <w:rsid w:val="006729BC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6729BC"/>
    <w:rPr>
      <w:sz w:val="24"/>
      <w:lang w:val="sk-SK"/>
    </w:rPr>
  </w:style>
  <w:style w:type="character" w:customStyle="1" w:styleId="Normal12Char">
    <w:name w:val="Normal12 Char"/>
    <w:basedOn w:val="DefaultParagraphFont"/>
    <w:link w:val="Normal12"/>
    <w:locked/>
    <w:rsid w:val="006729BC"/>
    <w:rPr>
      <w:noProof/>
      <w:sz w:val="24"/>
    </w:rPr>
  </w:style>
  <w:style w:type="paragraph" w:customStyle="1" w:styleId="Normal12">
    <w:name w:val="Normal12"/>
    <w:basedOn w:val="Normal"/>
    <w:link w:val="Normal12Char"/>
    <w:rsid w:val="006729B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6729BC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6729BC"/>
    <w:pPr>
      <w:spacing w:after="120"/>
    </w:pPr>
  </w:style>
  <w:style w:type="paragraph" w:customStyle="1" w:styleId="Normal12Italic">
    <w:name w:val="Normal12Italic"/>
    <w:basedOn w:val="Normal12"/>
    <w:rsid w:val="006729BC"/>
    <w:rPr>
      <w:i/>
    </w:rPr>
  </w:style>
  <w:style w:type="paragraph" w:customStyle="1" w:styleId="Footer2">
    <w:name w:val="Footer2"/>
    <w:basedOn w:val="Normal12"/>
    <w:rsid w:val="006729B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6729BC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6729B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729B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729BC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6729BC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6729BC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6729BC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6729BC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6729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729BC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sid w:val="006729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29B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29BC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729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729BC"/>
    <w:rPr>
      <w:b/>
      <w:bCs/>
      <w:lang w:val="sk-SK"/>
    </w:rPr>
  </w:style>
  <w:style w:type="paragraph" w:customStyle="1" w:styleId="Point1">
    <w:name w:val="Point 1"/>
    <w:basedOn w:val="Normal"/>
    <w:rsid w:val="006729B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6729BC"/>
    <w:rPr>
      <w:i/>
      <w:iCs/>
    </w:rPr>
  </w:style>
  <w:style w:type="paragraph" w:styleId="Revision">
    <w:name w:val="Revision"/>
    <w:hidden/>
    <w:uiPriority w:val="99"/>
    <w:semiHidden/>
    <w:rsid w:val="006729BC"/>
    <w:rPr>
      <w:sz w:val="24"/>
      <w:lang w:val="sk-SK"/>
    </w:rPr>
  </w:style>
  <w:style w:type="paragraph" w:customStyle="1" w:styleId="Normal12a">
    <w:name w:val="Normal12a"/>
    <w:basedOn w:val="Normal"/>
    <w:rsid w:val="006729BC"/>
    <w:pPr>
      <w:spacing w:after="240"/>
    </w:pPr>
  </w:style>
  <w:style w:type="paragraph" w:customStyle="1" w:styleId="RollCallVotes">
    <w:name w:val="RollCallVotes"/>
    <w:basedOn w:val="Normal"/>
    <w:rsid w:val="006729B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729B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729B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729BC"/>
    <w:pPr>
      <w:spacing w:before="120" w:after="120"/>
    </w:pPr>
    <w:rPr>
      <w:snapToGrid w:val="0"/>
      <w:sz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5194C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0852B3"/>
    <w:pPr>
      <w:keepNext/>
      <w:widowControl/>
      <w:spacing w:before="600" w:after="120"/>
      <w:jc w:val="both"/>
    </w:pPr>
    <w:rPr>
      <w:szCs w:val="24"/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0852B3"/>
    <w:rPr>
      <w:color w:val="0563C1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0852B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2026-04-15T10:38:00Z</dcterms:created>
  <dcterms:modified xsi:type="dcterms:W3CDTF">2026-04-15T10:38:00Z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