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72AF" w14:paraId="5FFECB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F99A66" w14:textId="77777777" w:rsidR="00751A4A" w:rsidRPr="00D672AF" w:rsidRDefault="0077761D" w:rsidP="0010095E">
            <w:pPr>
              <w:pStyle w:val="EPName"/>
            </w:pPr>
            <w:r w:rsidRPr="00D672AF">
              <w:t>Evropski parlament</w:t>
            </w:r>
          </w:p>
          <w:p w14:paraId="34A52F1F" w14:textId="77777777" w:rsidR="00751A4A" w:rsidRPr="00D672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72AF">
              <w:t>2024</w:t>
            </w:r>
            <w:r w:rsidR="00817416" w:rsidRPr="00D672AF">
              <w:t>-202</w:t>
            </w:r>
            <w:r w:rsidRPr="00D672AF">
              <w:t>9</w:t>
            </w:r>
          </w:p>
        </w:tc>
        <w:tc>
          <w:tcPr>
            <w:tcW w:w="2268" w:type="dxa"/>
            <w:shd w:val="clear" w:color="auto" w:fill="auto"/>
          </w:tcPr>
          <w:p w14:paraId="400D7999" w14:textId="77777777" w:rsidR="00751A4A" w:rsidRPr="00D672AF" w:rsidRDefault="00187494" w:rsidP="0010095E">
            <w:pPr>
              <w:pStyle w:val="EPLogo"/>
            </w:pPr>
            <w:r w:rsidRPr="00D672AF">
              <w:rPr>
                <w:noProof/>
                <w:lang w:eastAsia="ja-JP"/>
              </w:rPr>
              <w:drawing>
                <wp:inline distT="0" distB="0" distL="0" distR="0" wp14:anchorId="5B64206A" wp14:editId="2B3C79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E330A" w14:textId="77777777" w:rsidR="00D058B8" w:rsidRPr="00D672AF" w:rsidRDefault="00D058B8" w:rsidP="004C5D52">
      <w:pPr>
        <w:pStyle w:val="LineTop"/>
      </w:pPr>
    </w:p>
    <w:p w14:paraId="1D88F3CE" w14:textId="77777777" w:rsidR="00680577" w:rsidRPr="00D672AF" w:rsidRDefault="0077761D" w:rsidP="00680577">
      <w:pPr>
        <w:pStyle w:val="EPBodyTA1"/>
      </w:pPr>
      <w:r w:rsidRPr="00D672AF">
        <w:t>SPREJETA BESEDILA</w:t>
      </w:r>
    </w:p>
    <w:p w14:paraId="29FDF244" w14:textId="77777777" w:rsidR="00D058B8" w:rsidRPr="00D672AF" w:rsidRDefault="00D058B8" w:rsidP="00D058B8">
      <w:pPr>
        <w:pStyle w:val="LineBottom"/>
      </w:pPr>
    </w:p>
    <w:p w14:paraId="0E43D8AC" w14:textId="7E6427D6" w:rsidR="0077761D" w:rsidRPr="00D672AF" w:rsidRDefault="0077761D" w:rsidP="0077761D">
      <w:pPr>
        <w:pStyle w:val="ATHeading1"/>
      </w:pPr>
      <w:bookmarkStart w:id="0" w:name="TANumber"/>
      <w:r w:rsidRPr="00D672AF">
        <w:t>P10_TA(2026)00</w:t>
      </w:r>
      <w:bookmarkEnd w:id="0"/>
      <w:r w:rsidR="000748C3" w:rsidRPr="00D672AF">
        <w:t>28</w:t>
      </w:r>
    </w:p>
    <w:p w14:paraId="15D3B822" w14:textId="659311DB" w:rsidR="00CB0CAE" w:rsidRPr="00D672AF" w:rsidRDefault="00CB0CAE" w:rsidP="00CB0CAE">
      <w:pPr>
        <w:pStyle w:val="ATHeading2"/>
      </w:pPr>
      <w:bookmarkStart w:id="1" w:name="_Hlk221270922"/>
      <w:bookmarkStart w:id="2" w:name="title"/>
      <w:r w:rsidRPr="00D672AF">
        <w:t>Sprememba uredb o kmetijskih proizvodih glede tržnih pravil in sektorsk</w:t>
      </w:r>
      <w:r w:rsidR="006A7B8A" w:rsidRPr="00D672AF">
        <w:t>ih</w:t>
      </w:r>
      <w:r w:rsidRPr="00D672AF">
        <w:t xml:space="preserve"> podpor</w:t>
      </w:r>
      <w:r w:rsidR="006A7B8A" w:rsidRPr="00D672AF">
        <w:t>nih</w:t>
      </w:r>
      <w:r w:rsidRPr="00D672AF">
        <w:t xml:space="preserve"> </w:t>
      </w:r>
      <w:r w:rsidR="006A7B8A" w:rsidRPr="00D672AF">
        <w:t>ukrepov v vinskem sektorju</w:t>
      </w:r>
      <w:r w:rsidRPr="00D672AF">
        <w:t xml:space="preserve"> in </w:t>
      </w:r>
      <w:r w:rsidR="006A7B8A" w:rsidRPr="00D672AF">
        <w:t xml:space="preserve">za </w:t>
      </w:r>
      <w:r w:rsidRPr="00D672AF">
        <w:t>aromatizirane vinske proizvode</w:t>
      </w:r>
      <w:bookmarkEnd w:id="1"/>
      <w:bookmarkEnd w:id="2"/>
    </w:p>
    <w:p w14:paraId="211D4DB0" w14:textId="77777777" w:rsidR="0077761D" w:rsidRPr="00D672AF" w:rsidRDefault="0077761D" w:rsidP="0077761D">
      <w:pPr>
        <w:rPr>
          <w:i/>
          <w:vanish/>
        </w:rPr>
      </w:pPr>
      <w:r w:rsidRPr="00D672AF">
        <w:rPr>
          <w:i/>
        </w:rPr>
        <w:fldChar w:fldCharType="begin"/>
      </w:r>
      <w:r w:rsidRPr="00D672AF">
        <w:rPr>
          <w:i/>
        </w:rPr>
        <w:instrText xml:space="preserve"> TC"(</w:instrText>
      </w:r>
      <w:bookmarkStart w:id="3" w:name="DocNumber"/>
      <w:r w:rsidRPr="00D672AF">
        <w:rPr>
          <w:i/>
        </w:rPr>
        <w:instrText>A10-0220/2025</w:instrText>
      </w:r>
      <w:bookmarkEnd w:id="3"/>
      <w:r w:rsidRPr="00D672AF">
        <w:rPr>
          <w:i/>
        </w:rPr>
        <w:instrText xml:space="preserve"> - Poročevalka: Esther Herranz García)"\l3 \n&gt; \* MERGEFORMAT </w:instrText>
      </w:r>
      <w:r w:rsidRPr="00D672AF">
        <w:rPr>
          <w:i/>
        </w:rPr>
        <w:fldChar w:fldCharType="end"/>
      </w:r>
    </w:p>
    <w:p w14:paraId="7C3A0EE2" w14:textId="77777777" w:rsidR="0077761D" w:rsidRPr="00D672AF" w:rsidRDefault="0077761D" w:rsidP="0077761D">
      <w:pPr>
        <w:rPr>
          <w:vanish/>
        </w:rPr>
      </w:pPr>
      <w:bookmarkStart w:id="4" w:name="Commission"/>
      <w:r w:rsidRPr="00D672AF">
        <w:rPr>
          <w:vanish/>
        </w:rPr>
        <w:t>Odbor za kmetijstvo in razvoj podeželja</w:t>
      </w:r>
      <w:bookmarkEnd w:id="4"/>
    </w:p>
    <w:p w14:paraId="5A59EBE9" w14:textId="77777777" w:rsidR="0077761D" w:rsidRPr="00D672AF" w:rsidRDefault="0077761D" w:rsidP="0077761D">
      <w:pPr>
        <w:rPr>
          <w:vanish/>
        </w:rPr>
      </w:pPr>
      <w:bookmarkStart w:id="5" w:name="PE"/>
      <w:r w:rsidRPr="00D672AF">
        <w:rPr>
          <w:vanish/>
        </w:rPr>
        <w:t>PE774.316</w:t>
      </w:r>
      <w:bookmarkEnd w:id="5"/>
    </w:p>
    <w:p w14:paraId="46BC3491" w14:textId="478D3689" w:rsidR="0077761D" w:rsidRPr="00D672AF" w:rsidRDefault="0077761D" w:rsidP="0077761D">
      <w:pPr>
        <w:pStyle w:val="ATHeading3"/>
      </w:pPr>
      <w:bookmarkStart w:id="6" w:name="Sujet"/>
      <w:r w:rsidRPr="00D672AF">
        <w:t xml:space="preserve">Zakonodajna resolucija Evropskega parlamenta z dne </w:t>
      </w:r>
      <w:bookmarkStart w:id="7" w:name="_Hlk220507509"/>
      <w:r w:rsidR="00CB0CAE" w:rsidRPr="00D672AF">
        <w:t xml:space="preserve">10. </w:t>
      </w:r>
      <w:r w:rsidR="00481AA2" w:rsidRPr="00D672AF">
        <w:t>februarja</w:t>
      </w:r>
      <w:r w:rsidRPr="00D672AF">
        <w:t xml:space="preserve"> </w:t>
      </w:r>
      <w:bookmarkEnd w:id="7"/>
      <w:r w:rsidRPr="00D672AF">
        <w:t>2026 o predlogu uredbe Evropskega parlamenta in Sveta o spremembi uredb (EU) št. 1308/2013, (EU) 2021/2115 in (EU) št. 251/2014 glede nekaterih tržnih pravil in sektorskih podpornih ukrepov v vinskem sektorju in za aromatizirane vinske proizvode</w:t>
      </w:r>
      <w:bookmarkEnd w:id="6"/>
      <w:r w:rsidRPr="00D672AF">
        <w:t xml:space="preserve"> </w:t>
      </w:r>
      <w:bookmarkStart w:id="8" w:name="References"/>
      <w:r w:rsidRPr="00D672AF">
        <w:t>(COM(2025)0137 – C10-0058/2025 – 2025/0071(COD))</w:t>
      </w:r>
      <w:bookmarkEnd w:id="8"/>
    </w:p>
    <w:p w14:paraId="6FC7DA3A" w14:textId="77777777" w:rsidR="0019130F" w:rsidRPr="00D672AF" w:rsidRDefault="0019130F" w:rsidP="0019130F">
      <w:pPr>
        <w:pStyle w:val="NormalBold"/>
      </w:pPr>
      <w:r w:rsidRPr="00D672AF">
        <w:t>(Redni zakonodajni postopek: prva obravnava)</w:t>
      </w:r>
    </w:p>
    <w:p w14:paraId="610BE30C" w14:textId="77777777" w:rsidR="0019130F" w:rsidRPr="00D672AF" w:rsidRDefault="0019130F" w:rsidP="0019130F">
      <w:pPr>
        <w:pStyle w:val="EPComma"/>
      </w:pPr>
      <w:r w:rsidRPr="00D672AF">
        <w:rPr>
          <w:i/>
        </w:rPr>
        <w:t>Evropski parlament</w:t>
      </w:r>
      <w:r w:rsidRPr="00D672AF">
        <w:t>,</w:t>
      </w:r>
    </w:p>
    <w:p w14:paraId="2012267E" w14:textId="77777777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>ob upoštevanju predloga Komisije Evropskemu parlamentu in Svetu (COM(2025)0137),</w:t>
      </w:r>
    </w:p>
    <w:p w14:paraId="735B6F29" w14:textId="4984ABE1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 xml:space="preserve">ob upoštevanju člena 294(2), člena 42, prvi odstavek, in člena 43(2) Pogodbe o delovanju Evropske unije, na podlagi katerih je Komisija podala predlog </w:t>
      </w:r>
      <w:r w:rsidR="00481AA2" w:rsidRPr="00D672AF">
        <w:t xml:space="preserve">Parlamentu </w:t>
      </w:r>
      <w:r w:rsidRPr="00D672AF">
        <w:t>(C10</w:t>
      </w:r>
      <w:r w:rsidRPr="00D672AF">
        <w:noBreakHyphen/>
        <w:t>0058/2025),</w:t>
      </w:r>
    </w:p>
    <w:p w14:paraId="15C46B5D" w14:textId="77777777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>ob upoštevanju člena 294(3) Pogodbe o delovanju Evropske unije,</w:t>
      </w:r>
    </w:p>
    <w:p w14:paraId="2B577ED1" w14:textId="23DA9C80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 xml:space="preserve">ob upoštevanju mnenja Evropskega ekonomsko-socialnega odbora z dne </w:t>
      </w:r>
      <w:r w:rsidR="009264FC" w:rsidRPr="00D672AF">
        <w:t>17</w:t>
      </w:r>
      <w:r w:rsidRPr="00D672AF">
        <w:t>. julija 2025</w:t>
      </w:r>
      <w:r w:rsidRPr="00D672AF">
        <w:rPr>
          <w:rStyle w:val="FootnoteReference"/>
        </w:rPr>
        <w:footnoteReference w:id="1"/>
      </w:r>
      <w:r w:rsidRPr="00D672AF">
        <w:t>,</w:t>
      </w:r>
    </w:p>
    <w:p w14:paraId="56A8DBF6" w14:textId="7760E1A6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>ob upoštevanju mnenja Odbora regij z dne </w:t>
      </w:r>
      <w:r w:rsidR="009264FC" w:rsidRPr="00D672AF">
        <w:t>2</w:t>
      </w:r>
      <w:r w:rsidRPr="00D672AF">
        <w:t>. julija 2025</w:t>
      </w:r>
      <w:r w:rsidRPr="00D672AF">
        <w:rPr>
          <w:rStyle w:val="FootnoteReference"/>
        </w:rPr>
        <w:footnoteReference w:id="2"/>
      </w:r>
      <w:r w:rsidRPr="00D672AF">
        <w:t>,</w:t>
      </w:r>
    </w:p>
    <w:p w14:paraId="44E053DC" w14:textId="11E2C71D" w:rsidR="00481AA2" w:rsidRPr="00D672AF" w:rsidRDefault="00481AA2" w:rsidP="00481AA2">
      <w:pPr>
        <w:pStyle w:val="Normal12Hanging"/>
      </w:pPr>
      <w:bookmarkStart w:id="9" w:name="_Hlk220507557"/>
      <w:r w:rsidRPr="00D672AF">
        <w:t>–</w:t>
      </w:r>
      <w:r w:rsidRPr="00D672AF">
        <w:tab/>
      </w:r>
      <w:r w:rsidRPr="00D672AF">
        <w:rPr>
          <w:noProof/>
          <w:szCs w:val="24"/>
        </w:rPr>
        <w:t>ob upoštevanju začasnega dogovora, ki ga je odobril pristojni odbor v skladu s členom 7</w:t>
      </w:r>
      <w:r w:rsidR="00851D2E" w:rsidRPr="00D672AF">
        <w:rPr>
          <w:noProof/>
          <w:szCs w:val="24"/>
        </w:rPr>
        <w:t>5</w:t>
      </w:r>
      <w:r w:rsidRPr="00D672AF">
        <w:rPr>
          <w:noProof/>
          <w:szCs w:val="24"/>
        </w:rPr>
        <w:t xml:space="preserve">(4) Poslovnika, in zaveze predstavnika Sveta v pismu z dne </w:t>
      </w:r>
      <w:r w:rsidR="00D14AD4" w:rsidRPr="00D672AF">
        <w:rPr>
          <w:noProof/>
          <w:szCs w:val="24"/>
        </w:rPr>
        <w:t>16. decembra 2025</w:t>
      </w:r>
      <w:r w:rsidRPr="00D672AF">
        <w:rPr>
          <w:noProof/>
          <w:szCs w:val="24"/>
        </w:rPr>
        <w:t>, da bo odobril stališče Evropskega parlamenta v skladu s členom 294(4) Pogodbe o delovanju Evropske unije,</w:t>
      </w:r>
    </w:p>
    <w:bookmarkEnd w:id="9"/>
    <w:p w14:paraId="270B4383" w14:textId="77777777" w:rsidR="0019130F" w:rsidRPr="00D672AF" w:rsidRDefault="0019130F" w:rsidP="0019130F">
      <w:pPr>
        <w:pStyle w:val="NormalHanging12a"/>
      </w:pPr>
      <w:r w:rsidRPr="00D672AF">
        <w:t>–</w:t>
      </w:r>
      <w:r w:rsidRPr="00D672AF">
        <w:tab/>
        <w:t>ob upoštevanju člena 60 Poslovnika,</w:t>
      </w:r>
    </w:p>
    <w:p w14:paraId="7629B594" w14:textId="77777777" w:rsidR="0019130F" w:rsidRPr="00D672AF" w:rsidRDefault="0019130F" w:rsidP="0019130F">
      <w:pPr>
        <w:pStyle w:val="NormalHanging12a"/>
      </w:pPr>
      <w:r w:rsidRPr="00D672AF">
        <w:lastRenderedPageBreak/>
        <w:t>–</w:t>
      </w:r>
      <w:r w:rsidRPr="00D672AF">
        <w:tab/>
        <w:t>ob upoštevanju poročila Odbora za kmetijstvo in razvoj podeželja (A10</w:t>
      </w:r>
      <w:r w:rsidRPr="00D672AF">
        <w:noBreakHyphen/>
        <w:t>0220/2025),</w:t>
      </w:r>
    </w:p>
    <w:p w14:paraId="3927E96D" w14:textId="77777777" w:rsidR="0019130F" w:rsidRPr="00D672AF" w:rsidRDefault="0019130F" w:rsidP="0019130F">
      <w:pPr>
        <w:pStyle w:val="NormalHanging12a"/>
      </w:pPr>
      <w:r w:rsidRPr="00D672AF">
        <w:t>1.</w:t>
      </w:r>
      <w:r w:rsidRPr="00D672AF">
        <w:tab/>
        <w:t>sprejme stališče v prvi obravnavi, kakor je določeno v nadaljevanju;</w:t>
      </w:r>
    </w:p>
    <w:p w14:paraId="217ABA1A" w14:textId="0FF75357" w:rsidR="00481AA2" w:rsidRPr="00D672AF" w:rsidRDefault="00481AA2" w:rsidP="0019130F">
      <w:pPr>
        <w:pStyle w:val="NormalHanging12a"/>
        <w:rPr>
          <w:bCs/>
          <w:iCs/>
        </w:rPr>
      </w:pPr>
      <w:r w:rsidRPr="00D672AF">
        <w:t xml:space="preserve">2. </w:t>
      </w:r>
      <w:r w:rsidRPr="00D672AF">
        <w:tab/>
      </w:r>
      <w:r w:rsidR="00D12340" w:rsidRPr="00D672AF">
        <w:t xml:space="preserve">je seznanjen </w:t>
      </w:r>
      <w:r w:rsidR="00D14AD4" w:rsidRPr="00D672AF">
        <w:rPr>
          <w:bCs/>
          <w:iCs/>
        </w:rPr>
        <w:t>z</w:t>
      </w:r>
      <w:r w:rsidR="00CC12BB" w:rsidRPr="00D672AF">
        <w:rPr>
          <w:bCs/>
          <w:iCs/>
        </w:rPr>
        <w:t xml:space="preserve"> izjavo Komisije, priloženo tej resoluciji, ki bo objavljena v seriji C </w:t>
      </w:r>
      <w:r w:rsidR="00CC12BB" w:rsidRPr="00D672AF">
        <w:rPr>
          <w:bCs/>
          <w:i/>
        </w:rPr>
        <w:t>Uradnega lista Evropske unije</w:t>
      </w:r>
      <w:r w:rsidR="00CC12BB" w:rsidRPr="00D672AF">
        <w:rPr>
          <w:bCs/>
          <w:iCs/>
        </w:rPr>
        <w:t>;</w:t>
      </w:r>
    </w:p>
    <w:p w14:paraId="4B32BB69" w14:textId="760DA377" w:rsidR="0019130F" w:rsidRPr="00D672AF" w:rsidRDefault="00481AA2" w:rsidP="0019130F">
      <w:pPr>
        <w:pStyle w:val="NormalHanging12a"/>
      </w:pPr>
      <w:r w:rsidRPr="00D672AF">
        <w:t>3</w:t>
      </w:r>
      <w:r w:rsidR="0019130F" w:rsidRPr="00D672AF">
        <w:t>.</w:t>
      </w:r>
      <w:r w:rsidR="0019130F" w:rsidRPr="00D672AF">
        <w:tab/>
        <w:t>poziva Komisijo, naj mu zadevo ponovno predloži, če svoj predlog nadomesti, ga bistveno spremeni ali ga namerava bistveno spremeniti;</w:t>
      </w:r>
    </w:p>
    <w:p w14:paraId="3745E155" w14:textId="2E460D4E" w:rsidR="0019130F" w:rsidRPr="00D672AF" w:rsidRDefault="00481AA2" w:rsidP="00481AA2">
      <w:pPr>
        <w:pStyle w:val="NormalHanging12a"/>
      </w:pPr>
      <w:r w:rsidRPr="00D672AF">
        <w:t>4</w:t>
      </w:r>
      <w:r w:rsidR="0019130F" w:rsidRPr="00D672AF">
        <w:t>.</w:t>
      </w:r>
      <w:r w:rsidR="0019130F" w:rsidRPr="00D672AF">
        <w:tab/>
        <w:t>naroči svoji predsednici, naj stališče Parlamenta posreduje Svetu</w:t>
      </w:r>
      <w:r w:rsidRPr="00D672AF">
        <w:t xml:space="preserve">, </w:t>
      </w:r>
      <w:r w:rsidR="0019130F" w:rsidRPr="00D672AF">
        <w:t xml:space="preserve">Komisiji </w:t>
      </w:r>
      <w:r w:rsidRPr="00D672AF">
        <w:t xml:space="preserve">in </w:t>
      </w:r>
      <w:r w:rsidR="0019130F" w:rsidRPr="00D672AF">
        <w:t>nacionalnim parlamentom.</w:t>
      </w:r>
    </w:p>
    <w:p w14:paraId="17D6BC49" w14:textId="77777777" w:rsidR="00851D2E" w:rsidRPr="00D672AF" w:rsidRDefault="00851D2E" w:rsidP="00481AA2">
      <w:pPr>
        <w:rPr>
          <w:b/>
        </w:rPr>
        <w:sectPr w:rsidR="00851D2E" w:rsidRPr="00D672AF" w:rsidSect="0074184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10" w:name="_Hlk220507627"/>
    </w:p>
    <w:p w14:paraId="189947DC" w14:textId="205D7E2E" w:rsidR="00481AA2" w:rsidRPr="00D672AF" w:rsidRDefault="00481AA2" w:rsidP="00481AA2">
      <w:pPr>
        <w:rPr>
          <w:b/>
          <w:szCs w:val="24"/>
        </w:rPr>
      </w:pPr>
      <w:r w:rsidRPr="00D672AF">
        <w:rPr>
          <w:b/>
          <w:szCs w:val="24"/>
        </w:rPr>
        <w:lastRenderedPageBreak/>
        <w:t>P10_TC1-COD(2025)0071</w:t>
      </w:r>
    </w:p>
    <w:p w14:paraId="4B666F21" w14:textId="5698F623" w:rsidR="00481AA2" w:rsidRPr="00D672AF" w:rsidRDefault="00481AA2" w:rsidP="00481AA2">
      <w:pPr>
        <w:spacing w:before="240" w:after="200"/>
        <w:rPr>
          <w:b/>
          <w:szCs w:val="24"/>
        </w:rPr>
      </w:pPr>
      <w:r w:rsidRPr="00D672AF">
        <w:rPr>
          <w:b/>
          <w:szCs w:val="24"/>
        </w:rPr>
        <w:t xml:space="preserve">Stališče Evropskega parlamenta, sprejeto v prvi obravnavi dne </w:t>
      </w:r>
      <w:r w:rsidR="00CC12BB" w:rsidRPr="00D672AF">
        <w:rPr>
          <w:b/>
          <w:szCs w:val="24"/>
        </w:rPr>
        <w:t xml:space="preserve">10. </w:t>
      </w:r>
      <w:r w:rsidRPr="00D672AF">
        <w:rPr>
          <w:b/>
          <w:szCs w:val="24"/>
        </w:rPr>
        <w:t xml:space="preserve">februarja 2026 z namenom sprejetja Uredbe (EU) 2026/... Evropskega parlamenta in Sveta </w:t>
      </w:r>
      <w:r w:rsidR="00AF4B3B" w:rsidRPr="00AF4B3B">
        <w:rPr>
          <w:rFonts w:eastAsia="Aptos"/>
          <w:b/>
          <w:kern w:val="2"/>
          <w:szCs w:val="24"/>
          <w:lang w:eastAsia="en-US"/>
          <w14:ligatures w14:val="standardContextual"/>
        </w:rPr>
        <w:t>o spremembi uredb (EU) št. 1308/2013, (EU) št. 251/2014 in (EU) 2021/2115 glede nekaterih tržnih pravil in sektorskih podpornih ukrepov v vinskem sektorju in za aromatizirane vinske proizvode ter Uredbe (EU) 2024/1143 glede nekaterih pravil označevanja za žgane pijače</w:t>
      </w:r>
    </w:p>
    <w:bookmarkEnd w:id="10"/>
    <w:p w14:paraId="26DC990E" w14:textId="4719FC99" w:rsidR="00F075F9" w:rsidRPr="000D47D5" w:rsidRDefault="00F075F9" w:rsidP="00AF4B3B">
      <w:pPr>
        <w:spacing w:before="360" w:after="120"/>
        <w:rPr>
          <w:b/>
          <w:szCs w:val="24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3E2898">
        <w:rPr>
          <w:i/>
        </w:rPr>
        <w:t>2026/</w:t>
      </w:r>
      <w:r>
        <w:rPr>
          <w:i/>
        </w:rPr>
        <w:t>471.</w:t>
      </w:r>
      <w:r w:rsidRPr="00B07478">
        <w:rPr>
          <w:i/>
        </w:rPr>
        <w:t>)</w:t>
      </w:r>
    </w:p>
    <w:p w14:paraId="172E412A" w14:textId="77777777" w:rsidR="00F075F9" w:rsidRPr="00D672AF" w:rsidRDefault="00F075F9" w:rsidP="00481AA2">
      <w:pPr>
        <w:rPr>
          <w:szCs w:val="24"/>
        </w:rPr>
        <w:sectPr w:rsidR="00F075F9" w:rsidRPr="00D672AF" w:rsidSect="0074184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BEF7D5" w14:textId="77777777" w:rsidR="001A62B7" w:rsidRPr="00D672AF" w:rsidRDefault="001A62B7" w:rsidP="007C6876">
      <w:pPr>
        <w:spacing w:before="120" w:after="120" w:line="360" w:lineRule="auto"/>
        <w:jc w:val="right"/>
        <w:rPr>
          <w:iCs/>
          <w:szCs w:val="24"/>
        </w:rPr>
      </w:pPr>
      <w:r w:rsidRPr="00D672AF">
        <w:rPr>
          <w:iCs/>
          <w:szCs w:val="24"/>
        </w:rPr>
        <w:lastRenderedPageBreak/>
        <w:t>PRILOGA K ZAKONODAJNI RESOLUCIJI</w:t>
      </w:r>
    </w:p>
    <w:p w14:paraId="75FDC236" w14:textId="05F7F21E" w:rsidR="001A62B7" w:rsidRPr="0005646E" w:rsidRDefault="001A62B7" w:rsidP="0005646E">
      <w:pPr>
        <w:spacing w:before="120" w:after="120" w:line="360" w:lineRule="auto"/>
        <w:rPr>
          <w:b/>
          <w:bCs/>
          <w:iCs/>
          <w:szCs w:val="24"/>
        </w:rPr>
      </w:pPr>
      <w:r w:rsidRPr="0005646E">
        <w:rPr>
          <w:b/>
          <w:bCs/>
          <w:iCs/>
          <w:szCs w:val="24"/>
        </w:rPr>
        <w:t>Izjava Komisije ob sprejetju Uredbe (EU) 2026/</w:t>
      </w:r>
      <w:r w:rsidR="00AF4B3B" w:rsidRPr="0005646E">
        <w:rPr>
          <w:b/>
          <w:bCs/>
          <w:iCs/>
          <w:szCs w:val="24"/>
        </w:rPr>
        <w:t>471</w:t>
      </w:r>
      <w:r w:rsidRPr="0005646E">
        <w:rPr>
          <w:b/>
          <w:bCs/>
          <w:iCs/>
          <w:szCs w:val="24"/>
        </w:rPr>
        <w:t xml:space="preserve"> Evropskega parlamenta in Sveta z dne </w:t>
      </w:r>
      <w:r w:rsidR="00AF4B3B" w:rsidRPr="0005646E">
        <w:rPr>
          <w:b/>
          <w:bCs/>
          <w:iCs/>
          <w:szCs w:val="24"/>
        </w:rPr>
        <w:t>24. februarja</w:t>
      </w:r>
      <w:r w:rsidRPr="0005646E">
        <w:rPr>
          <w:b/>
          <w:bCs/>
          <w:iCs/>
          <w:szCs w:val="24"/>
        </w:rPr>
        <w:t xml:space="preserve"> 2026</w:t>
      </w:r>
      <w:r w:rsidR="00AF4B3B" w:rsidRPr="0005646E">
        <w:rPr>
          <w:rStyle w:val="FootnoteReference"/>
          <w:rFonts w:eastAsia="Aptos"/>
          <w:b/>
          <w:bCs/>
          <w:kern w:val="2"/>
          <w:szCs w:val="24"/>
          <w:lang w:eastAsia="en-US"/>
          <w14:ligatures w14:val="standardContextual"/>
        </w:rPr>
        <w:footnoteReference w:id="3"/>
      </w:r>
      <w:r w:rsidRPr="0005646E">
        <w:rPr>
          <w:b/>
          <w:bCs/>
          <w:iCs/>
          <w:szCs w:val="24"/>
        </w:rPr>
        <w:t xml:space="preserve"> </w:t>
      </w:r>
      <w:r w:rsidRPr="0005646E">
        <w:rPr>
          <w:b/>
          <w:bCs/>
          <w:szCs w:val="24"/>
        </w:rPr>
        <w:t>o spremembi uredb (EU) št. 1308/2013, (EU) št. 251/2014 in (EU) 2021/2115 glede nekaterih tržnih pravil in sektorskih podpornih ukrepov v vinskem sektorju in za aromatizirane vinske proizvode ter Uredbe (EU) 2024/1143 glede nekaterih pravil označevanja za žgane pijače</w:t>
      </w:r>
    </w:p>
    <w:p w14:paraId="4BA60ED5" w14:textId="77777777" w:rsidR="001A62B7" w:rsidRPr="00D672AF" w:rsidRDefault="001A62B7" w:rsidP="007C6876">
      <w:pPr>
        <w:spacing w:before="120" w:after="120" w:line="360" w:lineRule="auto"/>
        <w:rPr>
          <w:iCs/>
          <w:szCs w:val="24"/>
        </w:rPr>
      </w:pPr>
      <w:r w:rsidRPr="00D672AF">
        <w:rPr>
          <w:iCs/>
          <w:szCs w:val="24"/>
        </w:rPr>
        <w:t xml:space="preserve">Komisija si bo po najboljših močeh prizadevala, da bo v letu 2026 ustrezni strokovni skupini ali odboru predstavila: </w:t>
      </w:r>
    </w:p>
    <w:p w14:paraId="0EEEE949" w14:textId="77777777" w:rsidR="001A62B7" w:rsidRPr="00D672AF" w:rsidRDefault="001A62B7" w:rsidP="007C6876">
      <w:pPr>
        <w:widowControl/>
        <w:spacing w:before="120" w:after="120" w:line="360" w:lineRule="auto"/>
        <w:ind w:left="567" w:hanging="567"/>
        <w:rPr>
          <w:iCs/>
          <w:szCs w:val="24"/>
        </w:rPr>
      </w:pPr>
      <w:r w:rsidRPr="00D672AF">
        <w:rPr>
          <w:iCs/>
          <w:szCs w:val="24"/>
        </w:rPr>
        <w:t>1)</w:t>
      </w:r>
      <w:r w:rsidRPr="00D672AF">
        <w:rPr>
          <w:iCs/>
          <w:szCs w:val="24"/>
        </w:rPr>
        <w:tab/>
        <w:t xml:space="preserve">osnutek izvedbenega akta o spremembi Uredbe (EU) 2018/274 v zvezi z možnostjo razširitve uporabe </w:t>
      </w:r>
      <w:r w:rsidRPr="00D672AF">
        <w:rPr>
          <w:b/>
          <w:iCs/>
          <w:szCs w:val="24"/>
        </w:rPr>
        <w:t>poenostavljenega postopka za izdajo dovoljenj za ponovne zasaditve</w:t>
      </w:r>
      <w:r w:rsidRPr="00D672AF">
        <w:rPr>
          <w:iCs/>
          <w:szCs w:val="24"/>
        </w:rPr>
        <w:t xml:space="preserve"> iz člena 9 navedene uredbe;</w:t>
      </w:r>
    </w:p>
    <w:p w14:paraId="7E785D72" w14:textId="7ABDDB20" w:rsidR="001A62B7" w:rsidRPr="00D672AF" w:rsidRDefault="001A62B7" w:rsidP="007C6876">
      <w:pPr>
        <w:widowControl/>
        <w:spacing w:before="120" w:after="120" w:line="360" w:lineRule="auto"/>
        <w:ind w:left="567" w:hanging="567"/>
        <w:rPr>
          <w:iCs/>
          <w:szCs w:val="24"/>
        </w:rPr>
      </w:pPr>
      <w:r w:rsidRPr="00D672AF">
        <w:rPr>
          <w:iCs/>
          <w:szCs w:val="24"/>
        </w:rPr>
        <w:t>2)</w:t>
      </w:r>
      <w:r w:rsidRPr="00D672AF">
        <w:rPr>
          <w:iCs/>
          <w:szCs w:val="24"/>
        </w:rPr>
        <w:tab/>
        <w:t xml:space="preserve">osnutek spremembe Delegirane uredbe Komisije (EU) 2019/33 za opredelitev sistema Unije za identifikacijo na embalaži ali etiketi proizvodov vinske trte </w:t>
      </w:r>
      <w:r w:rsidRPr="00D672AF">
        <w:rPr>
          <w:b/>
          <w:iCs/>
          <w:szCs w:val="24"/>
        </w:rPr>
        <w:t>v elektronski oblik</w:t>
      </w:r>
      <w:r w:rsidR="0078180B" w:rsidRPr="00D672AF">
        <w:rPr>
          <w:b/>
          <w:iCs/>
          <w:szCs w:val="24"/>
        </w:rPr>
        <w:t>i</w:t>
      </w:r>
      <w:r w:rsidRPr="00D672AF">
        <w:rPr>
          <w:iCs/>
          <w:szCs w:val="24"/>
        </w:rPr>
        <w:t xml:space="preserve"> iz člena 119(4) in (5) Uredbe (EU) št. 1308/2013;</w:t>
      </w:r>
    </w:p>
    <w:p w14:paraId="6AA5ED00" w14:textId="77777777" w:rsidR="001A62B7" w:rsidRPr="00D672AF" w:rsidRDefault="001A62B7" w:rsidP="007C6876">
      <w:pPr>
        <w:widowControl/>
        <w:spacing w:before="120" w:after="120" w:line="360" w:lineRule="auto"/>
        <w:ind w:left="567" w:hanging="567"/>
        <w:rPr>
          <w:iCs/>
          <w:szCs w:val="24"/>
        </w:rPr>
      </w:pPr>
      <w:r w:rsidRPr="00D672AF">
        <w:rPr>
          <w:iCs/>
          <w:szCs w:val="24"/>
        </w:rPr>
        <w:t>3)</w:t>
      </w:r>
      <w:r w:rsidRPr="00D672AF">
        <w:rPr>
          <w:iCs/>
          <w:szCs w:val="24"/>
        </w:rPr>
        <w:tab/>
        <w:t xml:space="preserve">osnutek spremembe Delegirane uredbe Komisije (EU) 2019/934, da se v </w:t>
      </w:r>
      <w:r w:rsidRPr="00D672AF">
        <w:rPr>
          <w:b/>
          <w:iCs/>
          <w:szCs w:val="24"/>
        </w:rPr>
        <w:t>opredelitev „rezanja“</w:t>
      </w:r>
      <w:r w:rsidRPr="00D672AF">
        <w:rPr>
          <w:iCs/>
          <w:szCs w:val="24"/>
        </w:rPr>
        <w:t xml:space="preserve"> (mešanje) vključi možnost mešanja dealkoholiziranih ali delno dealkoholiziranih vin z mirnimi vini za proizvodnjo delno dealkoholiziranih vin;</w:t>
      </w:r>
    </w:p>
    <w:p w14:paraId="07E3FF38" w14:textId="755108AC" w:rsidR="00E365E1" w:rsidRPr="00D672AF" w:rsidRDefault="001A62B7" w:rsidP="007C6876">
      <w:pPr>
        <w:widowControl/>
        <w:spacing w:before="120" w:after="120" w:line="360" w:lineRule="auto"/>
        <w:ind w:left="567" w:hanging="567"/>
        <w:rPr>
          <w:szCs w:val="24"/>
        </w:rPr>
      </w:pPr>
      <w:r w:rsidRPr="00D672AF">
        <w:rPr>
          <w:iCs/>
          <w:szCs w:val="24"/>
        </w:rPr>
        <w:t>4)</w:t>
      </w:r>
      <w:r w:rsidRPr="00D672AF">
        <w:rPr>
          <w:iCs/>
          <w:szCs w:val="24"/>
        </w:rPr>
        <w:tab/>
        <w:t xml:space="preserve">osnutek delegiranega akta o določitvi pogojev za </w:t>
      </w:r>
      <w:r w:rsidRPr="00D672AF">
        <w:rPr>
          <w:b/>
          <w:iCs/>
          <w:szCs w:val="24"/>
        </w:rPr>
        <w:t>izkrčitev opuščenih vinogradov</w:t>
      </w:r>
      <w:r w:rsidRPr="00D672AF">
        <w:rPr>
          <w:iCs/>
          <w:szCs w:val="24"/>
        </w:rPr>
        <w:t xml:space="preserve"> iz novega člena 62(6) Uredbe (EU) št. 1308/2013.</w:t>
      </w:r>
    </w:p>
    <w:sectPr w:rsidR="00E365E1" w:rsidRPr="00D672AF" w:rsidSect="007418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954D" w14:textId="77777777" w:rsidR="0077761D" w:rsidRPr="00741847" w:rsidRDefault="0077761D">
      <w:r w:rsidRPr="00741847">
        <w:separator/>
      </w:r>
    </w:p>
  </w:endnote>
  <w:endnote w:type="continuationSeparator" w:id="0">
    <w:p w14:paraId="77D27F24" w14:textId="77777777" w:rsidR="0077761D" w:rsidRPr="00741847" w:rsidRDefault="0077761D">
      <w:r w:rsidRPr="00741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2385" w14:textId="77777777" w:rsidR="0077761D" w:rsidRPr="00741847" w:rsidRDefault="0077761D">
      <w:r w:rsidRPr="00741847">
        <w:separator/>
      </w:r>
    </w:p>
  </w:footnote>
  <w:footnote w:type="continuationSeparator" w:id="0">
    <w:p w14:paraId="4C4EF325" w14:textId="77777777" w:rsidR="0077761D" w:rsidRPr="00741847" w:rsidRDefault="0077761D">
      <w:r w:rsidRPr="00741847">
        <w:continuationSeparator/>
      </w:r>
    </w:p>
  </w:footnote>
  <w:footnote w:id="1">
    <w:p w14:paraId="2182FF44" w14:textId="041AB8F0" w:rsidR="0019130F" w:rsidRPr="00AF4B3B" w:rsidRDefault="0019130F" w:rsidP="007E5E16">
      <w:pPr>
        <w:pStyle w:val="FootnoteText"/>
        <w:ind w:left="567" w:hanging="567"/>
        <w:rPr>
          <w:sz w:val="24"/>
          <w:szCs w:val="24"/>
          <w:lang w:val="sl-SI"/>
        </w:rPr>
      </w:pPr>
      <w:r w:rsidRPr="00AF4B3B">
        <w:rPr>
          <w:rStyle w:val="FootnoteReference"/>
          <w:sz w:val="24"/>
          <w:szCs w:val="24"/>
          <w:lang w:val="sl-SI"/>
        </w:rPr>
        <w:footnoteRef/>
      </w:r>
      <w:r w:rsidR="00741847" w:rsidRPr="00AF4B3B">
        <w:rPr>
          <w:sz w:val="24"/>
          <w:szCs w:val="24"/>
          <w:lang w:val="sl-SI"/>
        </w:rPr>
        <w:t xml:space="preserve"> </w:t>
      </w:r>
      <w:r w:rsidR="00741847" w:rsidRPr="00AF4B3B">
        <w:rPr>
          <w:sz w:val="24"/>
          <w:szCs w:val="24"/>
          <w:lang w:val="sl-SI"/>
        </w:rPr>
        <w:tab/>
      </w:r>
      <w:r w:rsidR="00CB0CAE" w:rsidRPr="00AF4B3B">
        <w:rPr>
          <w:sz w:val="24"/>
          <w:szCs w:val="24"/>
          <w:lang w:val="sl-SI"/>
        </w:rPr>
        <w:t xml:space="preserve">UL C, C/2025/5161, 28.10.2025, ELI: </w:t>
      </w:r>
      <w:hyperlink r:id="rId1" w:history="1">
        <w:r w:rsidR="00CB0CAE" w:rsidRPr="00AF4B3B">
          <w:rPr>
            <w:rStyle w:val="Hyperlink"/>
            <w:sz w:val="24"/>
            <w:szCs w:val="24"/>
            <w:lang w:val="sl-SI"/>
          </w:rPr>
          <w:t>http://data.europa.eu/eli/C/2025/5161/oj</w:t>
        </w:r>
      </w:hyperlink>
      <w:r w:rsidRPr="00AF4B3B">
        <w:rPr>
          <w:sz w:val="24"/>
          <w:szCs w:val="24"/>
          <w:lang w:val="sl-SI"/>
        </w:rPr>
        <w:t>.</w:t>
      </w:r>
    </w:p>
  </w:footnote>
  <w:footnote w:id="2">
    <w:p w14:paraId="39878741" w14:textId="700AC39E" w:rsidR="0019130F" w:rsidRPr="00AF4B3B" w:rsidRDefault="0019130F" w:rsidP="007E5E16">
      <w:pPr>
        <w:pStyle w:val="FootnoteText"/>
        <w:ind w:left="567" w:hanging="567"/>
        <w:rPr>
          <w:sz w:val="24"/>
          <w:szCs w:val="24"/>
          <w:lang w:val="sl-SI"/>
        </w:rPr>
      </w:pPr>
      <w:r w:rsidRPr="00AF4B3B">
        <w:rPr>
          <w:rStyle w:val="FootnoteReference"/>
          <w:sz w:val="24"/>
          <w:szCs w:val="24"/>
          <w:lang w:val="sl-SI"/>
        </w:rPr>
        <w:footnoteRef/>
      </w:r>
      <w:r w:rsidR="00741847" w:rsidRPr="00AF4B3B">
        <w:rPr>
          <w:sz w:val="24"/>
          <w:szCs w:val="24"/>
          <w:lang w:val="sl-SI"/>
        </w:rPr>
        <w:t xml:space="preserve"> </w:t>
      </w:r>
      <w:r w:rsidR="00741847" w:rsidRPr="00AF4B3B">
        <w:rPr>
          <w:sz w:val="24"/>
          <w:szCs w:val="24"/>
          <w:lang w:val="sl-SI"/>
        </w:rPr>
        <w:tab/>
      </w:r>
      <w:r w:rsidR="00CB0CAE" w:rsidRPr="00AF4B3B">
        <w:rPr>
          <w:sz w:val="24"/>
          <w:szCs w:val="24"/>
          <w:lang w:val="sl-SI"/>
        </w:rPr>
        <w:t xml:space="preserve">UL C, C/2025/4418, 29.8.2025, ELI: </w:t>
      </w:r>
      <w:hyperlink r:id="rId2" w:history="1">
        <w:r w:rsidR="00CB0CAE" w:rsidRPr="00AF4B3B">
          <w:rPr>
            <w:rStyle w:val="Hyperlink"/>
            <w:sz w:val="24"/>
            <w:szCs w:val="24"/>
            <w:lang w:val="sl-SI"/>
          </w:rPr>
          <w:t>http://data.europa.eu/eli/C/2025/4418/oj</w:t>
        </w:r>
      </w:hyperlink>
      <w:r w:rsidRPr="00AF4B3B">
        <w:rPr>
          <w:sz w:val="24"/>
          <w:szCs w:val="24"/>
          <w:lang w:val="sl-SI"/>
        </w:rPr>
        <w:t>.</w:t>
      </w:r>
    </w:p>
  </w:footnote>
  <w:footnote w:id="3">
    <w:p w14:paraId="1D0795BA" w14:textId="2741E5F8" w:rsidR="00AF4B3B" w:rsidRPr="00AF4B3B" w:rsidRDefault="00AF4B3B" w:rsidP="00AF4B3B">
      <w:pPr>
        <w:pStyle w:val="FootnoteText"/>
        <w:ind w:left="851" w:hanging="851"/>
        <w:rPr>
          <w:sz w:val="24"/>
          <w:szCs w:val="24"/>
          <w:lang w:val="sk-SK"/>
        </w:rPr>
      </w:pPr>
      <w:r w:rsidRPr="00AF4B3B">
        <w:rPr>
          <w:rStyle w:val="FootnoteReference"/>
          <w:sz w:val="24"/>
          <w:szCs w:val="24"/>
        </w:rPr>
        <w:footnoteRef/>
      </w:r>
      <w:r w:rsidRPr="00AF4B3B">
        <w:rPr>
          <w:sz w:val="24"/>
          <w:szCs w:val="24"/>
          <w:lang w:val="fi-FI"/>
        </w:rPr>
        <w:t xml:space="preserve"> </w:t>
      </w:r>
      <w:r w:rsidRPr="00AF4B3B">
        <w:rPr>
          <w:sz w:val="24"/>
          <w:szCs w:val="24"/>
          <w:lang w:val="sk-SK"/>
        </w:rPr>
        <w:tab/>
        <w:t xml:space="preserve">UL L, 2026/471, 26.2.2026, ELI: </w:t>
      </w:r>
      <w:hyperlink r:id="rId3" w:history="1">
        <w:r w:rsidRPr="00AF4B3B">
          <w:rPr>
            <w:rStyle w:val="Hyperlink"/>
            <w:sz w:val="24"/>
            <w:szCs w:val="24"/>
            <w:lang w:val="sk-SK"/>
          </w:rPr>
          <w:t>http://data.europa.eu/eli/reg/2026/471/oj</w:t>
        </w:r>
      </w:hyperlink>
      <w:r w:rsidRPr="00AF4B3B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90503835">
    <w:abstractNumId w:val="0"/>
  </w:num>
  <w:num w:numId="2" w16cid:durableId="1252080412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SL"/>
    <w:docVar w:name="dvnumam" w:val="0"/>
    <w:docVar w:name="dvpe" w:val="774.316"/>
    <w:docVar w:name="dvrapporteur" w:val="Poročevalka: "/>
    <w:docVar w:name="dvstar" w:val="***I"/>
    <w:docVar w:name="dvtitre" w:val="Zakonodajna resolucija Evropskega parlamenta z dne … 2026 o predlogu uredbe Evropskega parlamenta in Sveta o spremembi uredb (EU) št. 1308/2013, (EU) 2021/2115 in (EU) št. 251/2014 glede nekaterih tržnih pravil in sektorskih podpornih ukrepov v vinskem sektorju in za aromatizirane vinske proizvode(COM(2025)0137 – C10-0058/2025 – 2025/0071(COD))"/>
  </w:docVars>
  <w:rsids>
    <w:rsidRoot w:val="0077761D"/>
    <w:rsid w:val="00002272"/>
    <w:rsid w:val="000507B7"/>
    <w:rsid w:val="000528FB"/>
    <w:rsid w:val="0005646E"/>
    <w:rsid w:val="0006245B"/>
    <w:rsid w:val="00064002"/>
    <w:rsid w:val="000677B9"/>
    <w:rsid w:val="000748C3"/>
    <w:rsid w:val="000831BA"/>
    <w:rsid w:val="000A42CC"/>
    <w:rsid w:val="000E7DD9"/>
    <w:rsid w:val="0010095E"/>
    <w:rsid w:val="00125B37"/>
    <w:rsid w:val="001266E5"/>
    <w:rsid w:val="0013551B"/>
    <w:rsid w:val="00170CE7"/>
    <w:rsid w:val="00187494"/>
    <w:rsid w:val="0019130F"/>
    <w:rsid w:val="001A62B7"/>
    <w:rsid w:val="001E506D"/>
    <w:rsid w:val="001F32AE"/>
    <w:rsid w:val="002008E6"/>
    <w:rsid w:val="002145AA"/>
    <w:rsid w:val="00225F09"/>
    <w:rsid w:val="00235B62"/>
    <w:rsid w:val="002767FF"/>
    <w:rsid w:val="002B18FE"/>
    <w:rsid w:val="002B5493"/>
    <w:rsid w:val="002F1B6A"/>
    <w:rsid w:val="00343214"/>
    <w:rsid w:val="00361C00"/>
    <w:rsid w:val="00366CD9"/>
    <w:rsid w:val="00395FA1"/>
    <w:rsid w:val="003E15D4"/>
    <w:rsid w:val="00411CCE"/>
    <w:rsid w:val="0041666E"/>
    <w:rsid w:val="00421060"/>
    <w:rsid w:val="0046350D"/>
    <w:rsid w:val="00471C19"/>
    <w:rsid w:val="00481AA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005"/>
    <w:rsid w:val="005C2568"/>
    <w:rsid w:val="005F1B17"/>
    <w:rsid w:val="006037C0"/>
    <w:rsid w:val="006631B6"/>
    <w:rsid w:val="00680577"/>
    <w:rsid w:val="006A7B8A"/>
    <w:rsid w:val="006F74FA"/>
    <w:rsid w:val="00731ADD"/>
    <w:rsid w:val="007326C5"/>
    <w:rsid w:val="00734777"/>
    <w:rsid w:val="00741847"/>
    <w:rsid w:val="00747932"/>
    <w:rsid w:val="00751A4A"/>
    <w:rsid w:val="00756632"/>
    <w:rsid w:val="0076005D"/>
    <w:rsid w:val="00762C74"/>
    <w:rsid w:val="0077761D"/>
    <w:rsid w:val="0078180B"/>
    <w:rsid w:val="00786EC0"/>
    <w:rsid w:val="007C6876"/>
    <w:rsid w:val="007D1690"/>
    <w:rsid w:val="007E22AD"/>
    <w:rsid w:val="007E5E16"/>
    <w:rsid w:val="00817416"/>
    <w:rsid w:val="00842779"/>
    <w:rsid w:val="00851D2E"/>
    <w:rsid w:val="00856E9E"/>
    <w:rsid w:val="00865F67"/>
    <w:rsid w:val="00881A7B"/>
    <w:rsid w:val="008840E5"/>
    <w:rsid w:val="00887B3E"/>
    <w:rsid w:val="008C2AC6"/>
    <w:rsid w:val="009264FC"/>
    <w:rsid w:val="00930C23"/>
    <w:rsid w:val="0093193B"/>
    <w:rsid w:val="0093317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B3B"/>
    <w:rsid w:val="00B12E95"/>
    <w:rsid w:val="00B21145"/>
    <w:rsid w:val="00B22876"/>
    <w:rsid w:val="00B4633F"/>
    <w:rsid w:val="00B558F0"/>
    <w:rsid w:val="00BD48FE"/>
    <w:rsid w:val="00BD7BD8"/>
    <w:rsid w:val="00BE6ADC"/>
    <w:rsid w:val="00C05BFE"/>
    <w:rsid w:val="00C23CD4"/>
    <w:rsid w:val="00C35CBA"/>
    <w:rsid w:val="00C61C0C"/>
    <w:rsid w:val="00C941CB"/>
    <w:rsid w:val="00CB0CAE"/>
    <w:rsid w:val="00CC12BB"/>
    <w:rsid w:val="00CC2357"/>
    <w:rsid w:val="00CF071A"/>
    <w:rsid w:val="00D058B8"/>
    <w:rsid w:val="00D12340"/>
    <w:rsid w:val="00D14AD4"/>
    <w:rsid w:val="00D56C11"/>
    <w:rsid w:val="00D672AF"/>
    <w:rsid w:val="00D834A0"/>
    <w:rsid w:val="00D872DF"/>
    <w:rsid w:val="00D91E21"/>
    <w:rsid w:val="00DA7FCD"/>
    <w:rsid w:val="00DB0C21"/>
    <w:rsid w:val="00E028B5"/>
    <w:rsid w:val="00E365E1"/>
    <w:rsid w:val="00E820A4"/>
    <w:rsid w:val="00EB006A"/>
    <w:rsid w:val="00EB4772"/>
    <w:rsid w:val="00EB6464"/>
    <w:rsid w:val="00EB6D65"/>
    <w:rsid w:val="00ED169E"/>
    <w:rsid w:val="00ED4235"/>
    <w:rsid w:val="00F04346"/>
    <w:rsid w:val="00F075DC"/>
    <w:rsid w:val="00F075F9"/>
    <w:rsid w:val="00F149E9"/>
    <w:rsid w:val="00F5134D"/>
    <w:rsid w:val="00F51C5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8AF3F"/>
  <w15:chartTrackingRefBased/>
  <w15:docId w15:val="{2510612B-AAD7-4F61-93EE-DAEFF944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913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3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3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3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3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30F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30F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30F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30F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1913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13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913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9130F"/>
    <w:pPr>
      <w:spacing w:after="120"/>
    </w:pPr>
  </w:style>
  <w:style w:type="paragraph" w:customStyle="1" w:styleId="PageHeading">
    <w:name w:val="PageHeading"/>
    <w:basedOn w:val="Normal"/>
    <w:rsid w:val="001913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9130F"/>
    <w:rPr>
      <w:b/>
    </w:rPr>
  </w:style>
  <w:style w:type="paragraph" w:customStyle="1" w:styleId="NormalBold12a">
    <w:name w:val="NormalBold12a"/>
    <w:basedOn w:val="Normal"/>
    <w:rsid w:val="0019130F"/>
    <w:pPr>
      <w:spacing w:after="240"/>
    </w:pPr>
    <w:rPr>
      <w:b/>
    </w:rPr>
  </w:style>
  <w:style w:type="paragraph" w:customStyle="1" w:styleId="AmJustText">
    <w:name w:val="AmJustText"/>
    <w:basedOn w:val="Normal"/>
    <w:rsid w:val="0019130F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1913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9130F"/>
    <w:pPr>
      <w:spacing w:after="480"/>
      <w:ind w:left="1417"/>
    </w:pPr>
  </w:style>
  <w:style w:type="paragraph" w:customStyle="1" w:styleId="CoverNormal">
    <w:name w:val="CoverNormal"/>
    <w:basedOn w:val="Normal"/>
    <w:rsid w:val="0019130F"/>
    <w:pPr>
      <w:ind w:left="1418"/>
    </w:pPr>
  </w:style>
  <w:style w:type="paragraph" w:customStyle="1" w:styleId="AmCrossRef">
    <w:name w:val="AmCrossRef"/>
    <w:basedOn w:val="Normal"/>
    <w:rsid w:val="001913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913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913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913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913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913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91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130F"/>
    <w:rPr>
      <w:sz w:val="24"/>
      <w:lang w:val="sl-SI"/>
    </w:rPr>
  </w:style>
  <w:style w:type="paragraph" w:customStyle="1" w:styleId="AmOrLang">
    <w:name w:val="AmOrLang"/>
    <w:basedOn w:val="Normal"/>
    <w:rsid w:val="001913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913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91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9130F"/>
    <w:pPr>
      <w:spacing w:before="240"/>
    </w:pPr>
    <w:rPr>
      <w:b/>
    </w:rPr>
  </w:style>
  <w:style w:type="paragraph" w:customStyle="1" w:styleId="EPBody">
    <w:name w:val="EPBody"/>
    <w:basedOn w:val="Normal"/>
    <w:rsid w:val="001913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913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130F"/>
    <w:pPr>
      <w:spacing w:before="480" w:after="240"/>
    </w:pPr>
  </w:style>
  <w:style w:type="paragraph" w:customStyle="1" w:styleId="Lgendesigne">
    <w:name w:val="Légende signe"/>
    <w:basedOn w:val="Normal"/>
    <w:rsid w:val="001913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913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9130F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19130F"/>
    <w:rPr>
      <w:b/>
      <w:sz w:val="24"/>
      <w:lang w:val="sl-SI"/>
    </w:rPr>
  </w:style>
  <w:style w:type="character" w:customStyle="1" w:styleId="FooterChar">
    <w:name w:val="Footer Char"/>
    <w:basedOn w:val="DefaultParagraphFont"/>
    <w:link w:val="Footer"/>
    <w:uiPriority w:val="99"/>
    <w:rsid w:val="0019130F"/>
    <w:rPr>
      <w:sz w:val="22"/>
    </w:rPr>
  </w:style>
  <w:style w:type="paragraph" w:styleId="Footer">
    <w:name w:val="footer"/>
    <w:link w:val="FooterChar"/>
    <w:uiPriority w:val="99"/>
    <w:unhideWhenUsed/>
    <w:rsid w:val="0019130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9130F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19130F"/>
    <w:rPr>
      <w:noProof/>
      <w:sz w:val="24"/>
    </w:rPr>
  </w:style>
  <w:style w:type="paragraph" w:customStyle="1" w:styleId="Normal12">
    <w:name w:val="Normal12"/>
    <w:basedOn w:val="Normal"/>
    <w:link w:val="Normal12Char"/>
    <w:rsid w:val="0019130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9130F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19130F"/>
    <w:pPr>
      <w:spacing w:after="120"/>
    </w:pPr>
  </w:style>
  <w:style w:type="paragraph" w:customStyle="1" w:styleId="Normal12Italic">
    <w:name w:val="Normal12Italic"/>
    <w:basedOn w:val="Normal12"/>
    <w:rsid w:val="0019130F"/>
    <w:rPr>
      <w:i/>
    </w:rPr>
  </w:style>
  <w:style w:type="paragraph" w:customStyle="1" w:styleId="Footer2">
    <w:name w:val="Footer2"/>
    <w:basedOn w:val="Normal12"/>
    <w:rsid w:val="0019130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9130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91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9130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9130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9130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19130F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19130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19130F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191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130F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191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913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130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1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130F"/>
    <w:rPr>
      <w:b/>
      <w:bCs/>
      <w:lang w:val="sl-SI"/>
    </w:rPr>
  </w:style>
  <w:style w:type="paragraph" w:customStyle="1" w:styleId="Point1">
    <w:name w:val="Point 1"/>
    <w:basedOn w:val="Normal"/>
    <w:rsid w:val="0019130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qFormat/>
    <w:rsid w:val="0019130F"/>
    <w:rPr>
      <w:i/>
      <w:iCs/>
    </w:rPr>
  </w:style>
  <w:style w:type="paragraph" w:customStyle="1" w:styleId="Normal24a">
    <w:name w:val="Normal24a"/>
    <w:basedOn w:val="Normal"/>
    <w:rsid w:val="0019130F"/>
    <w:pPr>
      <w:spacing w:after="480"/>
    </w:pPr>
  </w:style>
  <w:style w:type="paragraph" w:customStyle="1" w:styleId="NormalBoldCenter">
    <w:name w:val="NormalBoldCenter"/>
    <w:basedOn w:val="Normal"/>
    <w:rsid w:val="0019130F"/>
    <w:pPr>
      <w:jc w:val="center"/>
    </w:pPr>
    <w:rPr>
      <w:b/>
    </w:rPr>
  </w:style>
  <w:style w:type="paragraph" w:customStyle="1" w:styleId="Footprint12b">
    <w:name w:val="Footprint12b"/>
    <w:basedOn w:val="Normal"/>
    <w:rsid w:val="0019130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9130F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130F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19130F"/>
    <w:pPr>
      <w:spacing w:after="240"/>
    </w:pPr>
  </w:style>
  <w:style w:type="paragraph" w:customStyle="1" w:styleId="RollCallVotes">
    <w:name w:val="RollCallVotes"/>
    <w:basedOn w:val="Normal"/>
    <w:rsid w:val="001913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913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913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9130F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19130F"/>
    <w:rPr>
      <w:sz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19130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9130F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30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9130F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19130F"/>
    <w:rPr>
      <w:b/>
      <w:bCs/>
    </w:rPr>
  </w:style>
  <w:style w:type="paragraph" w:styleId="NoSpacing">
    <w:name w:val="No Spacing"/>
    <w:basedOn w:val="Normal"/>
    <w:uiPriority w:val="1"/>
    <w:qFormat/>
    <w:rsid w:val="0019130F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19130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9130F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9130F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30F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30F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19130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9130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9130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9130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9130F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12Hanging">
    <w:name w:val="Normal12Hanging"/>
    <w:basedOn w:val="Normal"/>
    <w:rsid w:val="00481AA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481AA2"/>
    <w:rPr>
      <w:sz w:val="24"/>
      <w:lang w:val="sl-SI"/>
    </w:rPr>
  </w:style>
  <w:style w:type="character" w:styleId="FollowedHyperlink">
    <w:name w:val="FollowedHyperlink"/>
    <w:basedOn w:val="DefaultParagraphFont"/>
    <w:rsid w:val="009264FC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CC12B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C12BB"/>
    <w:pPr>
      <w:spacing w:after="240"/>
      <w:jc w:val="center"/>
    </w:pPr>
  </w:style>
  <w:style w:type="paragraph" w:customStyle="1" w:styleId="AmDateTab">
    <w:name w:val="AmDateTab"/>
    <w:basedOn w:val="Normal"/>
    <w:rsid w:val="00CC12B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C12B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C12BB"/>
  </w:style>
  <w:style w:type="paragraph" w:customStyle="1" w:styleId="Title1">
    <w:name w:val="Title1"/>
    <w:basedOn w:val="Normal"/>
    <w:next w:val="Normal"/>
    <w:uiPriority w:val="10"/>
    <w:qFormat/>
    <w:rsid w:val="00CC12BB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customStyle="1" w:styleId="Subtitle1">
    <w:name w:val="Subtitle1"/>
    <w:basedOn w:val="Normal"/>
    <w:next w:val="Normal"/>
    <w:uiPriority w:val="11"/>
    <w:qFormat/>
    <w:rsid w:val="00CC12BB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Emphasis1">
    <w:name w:val="Emphasis1"/>
    <w:basedOn w:val="DefaultParagraphFont"/>
    <w:uiPriority w:val="20"/>
    <w:qFormat/>
    <w:rsid w:val="00CC12BB"/>
    <w:rPr>
      <w:rFonts w:ascii="Aptos" w:hAnsi="Aptos"/>
      <w:b/>
      <w:i/>
      <w:iCs/>
    </w:rPr>
  </w:style>
  <w:style w:type="character" w:customStyle="1" w:styleId="SubtleEmphasis1">
    <w:name w:val="Subtle Emphasis1"/>
    <w:uiPriority w:val="19"/>
    <w:qFormat/>
    <w:rsid w:val="00CC12BB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CC12BB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CC12BB"/>
  </w:style>
  <w:style w:type="paragraph" w:styleId="TOC4">
    <w:name w:val="toc 4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C12BB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CC12BB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CC12BB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CC12BB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C12BB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C12BB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CC12B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C12B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C12BB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CC12BB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CC12BB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CC12BB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CC12BB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CC12BB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CC12BB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CC12BB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CC12BB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CC12BB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CC12BB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CC12BB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CC12BB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CC12BB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CC12BB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CC12BB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CC12BB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CC12BB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CC12BB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CC12BB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CC12BB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CC12BB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CC12B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CC12B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CC12B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CC12B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CC12B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CC12B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CC12B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CC12B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CC12B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CC12B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CC12B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CC12B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CC12B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CC12B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CC12B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CC12B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CC12B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CC12B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CC12B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CC12B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CC12B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CC12B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CC12B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CC12B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CC12B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CC12B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CC12B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CC12B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C12BB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C12BB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C12BB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CC12BB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C12B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C12B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C12BB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C12BB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C12BB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C12BB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CC12B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CC12B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CC12B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CC12B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CC12B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CC12B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CC12B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CC12B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CC12B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CC12BB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CC12BB"/>
    <w:pPr>
      <w:widowControl/>
      <w:numPr>
        <w:numId w:val="15"/>
      </w:numPr>
      <w:tabs>
        <w:tab w:val="clear" w:pos="1417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CC12BB"/>
    <w:pPr>
      <w:widowControl/>
      <w:numPr>
        <w:numId w:val="16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CC12BB"/>
    <w:pPr>
      <w:widowControl/>
      <w:numPr>
        <w:numId w:val="17"/>
      </w:numPr>
      <w:tabs>
        <w:tab w:val="clear" w:pos="2551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CC12BB"/>
    <w:pPr>
      <w:widowControl/>
      <w:numPr>
        <w:numId w:val="18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CC12BB"/>
    <w:pPr>
      <w:widowControl/>
      <w:numPr>
        <w:numId w:val="19"/>
      </w:numPr>
      <w:tabs>
        <w:tab w:val="clear" w:pos="3685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CC12BB"/>
    <w:pPr>
      <w:widowControl/>
      <w:numPr>
        <w:numId w:val="20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CC12BB"/>
    <w:pPr>
      <w:widowControl/>
      <w:numPr>
        <w:numId w:val="21"/>
      </w:numPr>
      <w:tabs>
        <w:tab w:val="clear" w:pos="4819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CC12BB"/>
    <w:pPr>
      <w:widowControl/>
      <w:numPr>
        <w:numId w:val="22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C12BB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C12BB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C12BB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CC12BB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C12BB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C12BB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C12BB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C12BB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C12BB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C12BB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CC12BB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C12BB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C12BB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C12BB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C12BB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C12B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C12B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C12BB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CC12BB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CC12BB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CC12BB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CC12BB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CC12BB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CC12BB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C12BB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CC12BB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C12BB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C12BB"/>
    <w:pPr>
      <w:spacing w:before="240"/>
    </w:pPr>
  </w:style>
  <w:style w:type="paragraph" w:customStyle="1" w:styleId="Accordtitre">
    <w:name w:val="Accord titre"/>
    <w:basedOn w:val="Normal"/>
    <w:rsid w:val="00CC12BB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CC12B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CC12B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C12BB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C12BB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C12BB"/>
    <w:pPr>
      <w:spacing w:after="240"/>
    </w:pPr>
  </w:style>
  <w:style w:type="paragraph" w:customStyle="1" w:styleId="Annexetitre">
    <w:name w:val="Annexe titre"/>
    <w:basedOn w:val="Normal"/>
    <w:next w:val="Normal"/>
    <w:rsid w:val="00CC12BB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C12BB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C12BB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C12BB"/>
    <w:rPr>
      <w:rFonts w:eastAsia="Aptos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CC12B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C12BB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CC12BB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CC12BB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CC12BB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C12BB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C12BB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C12BB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C12BB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C12BB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C12BB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C12BB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C12BB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C12BB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C12BB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C12BB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C12BB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C12BB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C12BB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C12BB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C12BB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C12BB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C12BB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C12BB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C12BB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C12BB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C12BB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CC12BB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CC12B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C12BB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CC12BB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CC12BB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C12BB"/>
    <w:rPr>
      <w:color w:val="954F72"/>
      <w:u w:val="single"/>
    </w:rPr>
  </w:style>
  <w:style w:type="character" w:customStyle="1" w:styleId="TitleChar1">
    <w:name w:val="Title Char1"/>
    <w:basedOn w:val="DefaultParagraphFont"/>
    <w:rsid w:val="00CC12BB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character" w:customStyle="1" w:styleId="SubtitleChar1">
    <w:name w:val="Subtitle Char1"/>
    <w:basedOn w:val="DefaultParagraphFont"/>
    <w:rsid w:val="00CC12B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534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2026-04-17T07:43:00Z</dcterms:created>
  <dcterms:modified xsi:type="dcterms:W3CDTF">2026-04-17T07:43:00Z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