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33F13" w14:paraId="3A0AD72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3CB3CCC" w14:textId="77777777" w:rsidR="00751A4A" w:rsidRPr="00533F13" w:rsidRDefault="007916A2" w:rsidP="0010095E">
            <w:pPr>
              <w:pStyle w:val="EPName"/>
            </w:pPr>
            <w:r w:rsidRPr="00533F13">
              <w:t>Europaparlamentet</w:t>
            </w:r>
          </w:p>
          <w:p w14:paraId="66E83B05" w14:textId="77777777" w:rsidR="00751A4A" w:rsidRPr="00533F1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33F13">
              <w:t>2024</w:t>
            </w:r>
            <w:r w:rsidR="00817416" w:rsidRPr="00533F13">
              <w:t>-202</w:t>
            </w:r>
            <w:r w:rsidRPr="00533F13">
              <w:t>9</w:t>
            </w:r>
          </w:p>
        </w:tc>
        <w:tc>
          <w:tcPr>
            <w:tcW w:w="2268" w:type="dxa"/>
            <w:shd w:val="clear" w:color="auto" w:fill="auto"/>
          </w:tcPr>
          <w:p w14:paraId="762D11A5" w14:textId="77777777" w:rsidR="00751A4A" w:rsidRPr="00533F13" w:rsidRDefault="00187494" w:rsidP="0010095E">
            <w:pPr>
              <w:pStyle w:val="EPLogo"/>
            </w:pPr>
            <w:r w:rsidRPr="00533F13">
              <w:rPr>
                <w:noProof/>
                <w:lang w:eastAsia="ja-JP"/>
              </w:rPr>
              <w:drawing>
                <wp:inline distT="0" distB="0" distL="0" distR="0" wp14:anchorId="4F9E2816" wp14:editId="0174A0C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EE03CF" w14:textId="77777777" w:rsidR="00D058B8" w:rsidRPr="00533F13" w:rsidRDefault="00D058B8" w:rsidP="004C5D52">
      <w:pPr>
        <w:pStyle w:val="LineTop"/>
      </w:pPr>
    </w:p>
    <w:p w14:paraId="6214FEF4" w14:textId="77777777" w:rsidR="00680577" w:rsidRPr="00533F13" w:rsidRDefault="007916A2" w:rsidP="00680577">
      <w:pPr>
        <w:pStyle w:val="EPBodyTA1"/>
      </w:pPr>
      <w:r w:rsidRPr="00533F13">
        <w:t>ANTAGNA TEXTER</w:t>
      </w:r>
    </w:p>
    <w:p w14:paraId="5A85BFEA" w14:textId="77777777" w:rsidR="00D058B8" w:rsidRPr="00533F13" w:rsidRDefault="00D058B8" w:rsidP="00D058B8">
      <w:pPr>
        <w:pStyle w:val="LineBottom"/>
      </w:pPr>
    </w:p>
    <w:p w14:paraId="582055B7" w14:textId="0784C367" w:rsidR="007916A2" w:rsidRPr="00533F13" w:rsidRDefault="007916A2" w:rsidP="007916A2">
      <w:pPr>
        <w:pStyle w:val="ATHeading1"/>
      </w:pPr>
      <w:bookmarkStart w:id="0" w:name="TANumber"/>
      <w:r w:rsidRPr="00533F13">
        <w:t>P10_TA(2026)00</w:t>
      </w:r>
      <w:bookmarkEnd w:id="0"/>
      <w:r w:rsidR="00D25024">
        <w:t>28</w:t>
      </w:r>
    </w:p>
    <w:p w14:paraId="6B8521EC" w14:textId="01FC7657" w:rsidR="007916A2" w:rsidRPr="00533F13" w:rsidRDefault="007916A2" w:rsidP="000C6298">
      <w:pPr>
        <w:pStyle w:val="ATHeading2"/>
      </w:pPr>
      <w:bookmarkStart w:id="1" w:name="title"/>
      <w:r w:rsidRPr="00533F13">
        <w:t>Ändring av förordningarna om jordbruksprodukter vad gäller</w:t>
      </w:r>
      <w:r w:rsidR="00A45234" w:rsidRPr="00533F13">
        <w:t xml:space="preserve"> </w:t>
      </w:r>
      <w:r w:rsidRPr="00533F13">
        <w:t>marknadsregler och sektorsspecifika stödåtgärder i</w:t>
      </w:r>
      <w:r w:rsidR="00CE46EC" w:rsidRPr="00533F13">
        <w:t xml:space="preserve"> </w:t>
      </w:r>
      <w:r w:rsidRPr="00533F13">
        <w:t>vin</w:t>
      </w:r>
      <w:r w:rsidR="00A45234" w:rsidRPr="00533F13">
        <w:t>sektorn</w:t>
      </w:r>
      <w:r w:rsidRPr="00533F13">
        <w:t xml:space="preserve"> och </w:t>
      </w:r>
      <w:r w:rsidR="00CE46EC" w:rsidRPr="00533F13">
        <w:t xml:space="preserve">för </w:t>
      </w:r>
      <w:r w:rsidRPr="00533F13">
        <w:t>aromatiserade vinprodukter</w:t>
      </w:r>
      <w:bookmarkEnd w:id="1"/>
    </w:p>
    <w:p w14:paraId="6D734FC5" w14:textId="77777777" w:rsidR="007916A2" w:rsidRPr="00533F13" w:rsidRDefault="007916A2" w:rsidP="007916A2">
      <w:pPr>
        <w:rPr>
          <w:i/>
          <w:vanish/>
        </w:rPr>
      </w:pPr>
      <w:r w:rsidRPr="00533F13">
        <w:rPr>
          <w:i/>
        </w:rPr>
        <w:fldChar w:fldCharType="begin"/>
      </w:r>
      <w:r w:rsidRPr="00533F13">
        <w:rPr>
          <w:i/>
        </w:rPr>
        <w:instrText xml:space="preserve"> TC"(</w:instrText>
      </w:r>
      <w:bookmarkStart w:id="2" w:name="DocNumber"/>
      <w:r w:rsidRPr="00533F13">
        <w:rPr>
          <w:i/>
        </w:rPr>
        <w:instrText>A10-0220/2025</w:instrText>
      </w:r>
      <w:bookmarkEnd w:id="2"/>
      <w:r w:rsidRPr="00533F13">
        <w:rPr>
          <w:i/>
        </w:rPr>
        <w:instrText xml:space="preserve"> - Föredragande: Esther Herranz García)"\l3 \n&gt; \* MERGEFORMAT </w:instrText>
      </w:r>
      <w:r w:rsidRPr="00533F13">
        <w:rPr>
          <w:i/>
        </w:rPr>
        <w:fldChar w:fldCharType="end"/>
      </w:r>
    </w:p>
    <w:p w14:paraId="7BC82E47" w14:textId="77777777" w:rsidR="007916A2" w:rsidRPr="00533F13" w:rsidRDefault="007916A2" w:rsidP="007916A2">
      <w:pPr>
        <w:rPr>
          <w:vanish/>
        </w:rPr>
      </w:pPr>
      <w:bookmarkStart w:id="3" w:name="Commission"/>
      <w:r w:rsidRPr="00533F13">
        <w:rPr>
          <w:vanish/>
        </w:rPr>
        <w:t>Utskottet för jordbruk och landsbygdens utveckling</w:t>
      </w:r>
      <w:bookmarkEnd w:id="3"/>
    </w:p>
    <w:p w14:paraId="49A4416B" w14:textId="77777777" w:rsidR="007916A2" w:rsidRPr="00533F13" w:rsidRDefault="007916A2" w:rsidP="007916A2">
      <w:pPr>
        <w:rPr>
          <w:vanish/>
        </w:rPr>
      </w:pPr>
      <w:bookmarkStart w:id="4" w:name="PE"/>
      <w:r w:rsidRPr="00533F13">
        <w:rPr>
          <w:vanish/>
        </w:rPr>
        <w:t>PE774.316</w:t>
      </w:r>
      <w:bookmarkEnd w:id="4"/>
    </w:p>
    <w:p w14:paraId="3D6E87CE" w14:textId="621B532D" w:rsidR="007916A2" w:rsidRPr="00533F13" w:rsidRDefault="007916A2" w:rsidP="007916A2">
      <w:pPr>
        <w:pStyle w:val="ATHeading3"/>
      </w:pPr>
      <w:bookmarkStart w:id="5" w:name="Sujet"/>
      <w:r w:rsidRPr="00533F13">
        <w:t xml:space="preserve">Europaparlamentets lagstiftningsresolution av den </w:t>
      </w:r>
      <w:r w:rsidR="000C6298" w:rsidRPr="00533F13">
        <w:t>10</w:t>
      </w:r>
      <w:r w:rsidRPr="00533F13">
        <w:t xml:space="preserve"> </w:t>
      </w:r>
      <w:r w:rsidR="003620E9" w:rsidRPr="00533F13">
        <w:t>februari</w:t>
      </w:r>
      <w:r w:rsidRPr="00533F13">
        <w:t xml:space="preserve"> 2026 om förslaget till Europaparlamentets och rådets förordning om ändring av förordningarna (EU) nr 1308/2013, (EU) 2021/2115 och (EU) nr 251/2014 vad gäller vissa marknadsregler och sektorsspecifika stödåtgärder i vinsektorn och för aromatiserade vinprodukter</w:t>
      </w:r>
      <w:bookmarkEnd w:id="5"/>
      <w:r w:rsidRPr="00533F13">
        <w:t xml:space="preserve"> </w:t>
      </w:r>
      <w:bookmarkStart w:id="6" w:name="References"/>
      <w:r w:rsidRPr="00533F13">
        <w:t>(COM(2025)0137 – C10-0058/2025 – 2025/0071(COD))</w:t>
      </w:r>
      <w:bookmarkEnd w:id="6"/>
    </w:p>
    <w:p w14:paraId="0916D0B4" w14:textId="77777777" w:rsidR="00A759B2" w:rsidRPr="00533F13" w:rsidRDefault="00A759B2" w:rsidP="00A759B2">
      <w:pPr>
        <w:pStyle w:val="NormalBold12a"/>
      </w:pPr>
      <w:r w:rsidRPr="00533F13">
        <w:t>(Ordinarie lagstiftningsförfarande: första behandlingen)</w:t>
      </w:r>
    </w:p>
    <w:p w14:paraId="4B512C02" w14:textId="77777777" w:rsidR="00A759B2" w:rsidRPr="00533F13" w:rsidRDefault="00A759B2" w:rsidP="00A759B2">
      <w:pPr>
        <w:pStyle w:val="EPComma"/>
      </w:pPr>
      <w:r w:rsidRPr="00533F13">
        <w:rPr>
          <w:i/>
        </w:rPr>
        <w:t>Europaparlamentet utfärdar denna resolution</w:t>
      </w:r>
    </w:p>
    <w:p w14:paraId="04121F6C" w14:textId="77777777" w:rsidR="00A759B2" w:rsidRPr="00533F13" w:rsidRDefault="00A759B2" w:rsidP="00A759B2">
      <w:pPr>
        <w:pStyle w:val="NormalHanging12a"/>
      </w:pPr>
      <w:r w:rsidRPr="00533F13">
        <w:t>–</w:t>
      </w:r>
      <w:r w:rsidRPr="00533F13">
        <w:tab/>
        <w:t>med beaktande av kommissionens förslag till Europaparlamentet och rådet (COM(2025)0137),</w:t>
      </w:r>
    </w:p>
    <w:p w14:paraId="464C2BC7" w14:textId="77777777" w:rsidR="00A759B2" w:rsidRPr="00533F13" w:rsidRDefault="00A759B2" w:rsidP="00A759B2">
      <w:pPr>
        <w:pStyle w:val="NormalHanging12a"/>
      </w:pPr>
      <w:r w:rsidRPr="00533F13">
        <w:t>–</w:t>
      </w:r>
      <w:r w:rsidRPr="00533F13">
        <w:tab/>
        <w:t>med beaktande av artikel 294.2, artikel 42 första stycket och artikel 43.2 i fördraget om Europeiska unionens funktionssätt, i enlighet med vilka kommissionen har lagt fram sitt förslag för parlamentet (C10</w:t>
      </w:r>
      <w:r w:rsidRPr="00533F13">
        <w:noBreakHyphen/>
        <w:t>0058/2025),</w:t>
      </w:r>
    </w:p>
    <w:p w14:paraId="73385E50" w14:textId="77777777" w:rsidR="00A759B2" w:rsidRPr="00533F13" w:rsidRDefault="00A759B2" w:rsidP="00A759B2">
      <w:pPr>
        <w:pStyle w:val="NormalHanging12a"/>
      </w:pPr>
      <w:r w:rsidRPr="00533F13">
        <w:t>–</w:t>
      </w:r>
      <w:r w:rsidRPr="00533F13">
        <w:tab/>
        <w:t>med beaktande av artikel 294.3 i fördraget om Europeiska unionens funktionssätt,</w:t>
      </w:r>
    </w:p>
    <w:p w14:paraId="548707EA" w14:textId="77777777" w:rsidR="00A759B2" w:rsidRPr="00533F13" w:rsidRDefault="00A759B2" w:rsidP="00A759B2">
      <w:pPr>
        <w:pStyle w:val="NormalHanging12a"/>
      </w:pPr>
      <w:r w:rsidRPr="00533F13">
        <w:t>–</w:t>
      </w:r>
      <w:r w:rsidRPr="00533F13">
        <w:tab/>
        <w:t>med beaktande av Europeiska ekonomiska och sociala kommitténs yttrande av den 17 juli 2025</w:t>
      </w:r>
      <w:r w:rsidRPr="00533F13">
        <w:rPr>
          <w:rStyle w:val="FootnoteReference"/>
        </w:rPr>
        <w:footnoteReference w:id="1"/>
      </w:r>
      <w:r w:rsidRPr="00533F13">
        <w:t>,</w:t>
      </w:r>
    </w:p>
    <w:p w14:paraId="5B4788BA" w14:textId="657FC07D" w:rsidR="00A759B2" w:rsidRPr="00533F13" w:rsidRDefault="00A759B2" w:rsidP="00A759B2">
      <w:pPr>
        <w:pStyle w:val="NormalHanging12a"/>
      </w:pPr>
      <w:r w:rsidRPr="00533F13">
        <w:t>–</w:t>
      </w:r>
      <w:r w:rsidRPr="00533F13">
        <w:tab/>
        <w:t>med beaktande av Regionkommitténs yttrande av den </w:t>
      </w:r>
      <w:r w:rsidR="000C6298" w:rsidRPr="00533F13">
        <w:t>2</w:t>
      </w:r>
      <w:r w:rsidRPr="00533F13">
        <w:t> juli 2025</w:t>
      </w:r>
      <w:r w:rsidRPr="00533F13">
        <w:rPr>
          <w:rStyle w:val="FootnoteReference"/>
        </w:rPr>
        <w:footnoteReference w:id="2"/>
      </w:r>
      <w:r w:rsidRPr="00533F13">
        <w:t>,</w:t>
      </w:r>
    </w:p>
    <w:p w14:paraId="1764FC0D" w14:textId="0B48F075" w:rsidR="008C4B66" w:rsidRPr="00533F13" w:rsidRDefault="00D25024" w:rsidP="00D25024">
      <w:pPr>
        <w:pStyle w:val="NormalHanging12a"/>
      </w:pPr>
      <w:bookmarkStart w:id="7" w:name="_Hlk221539823"/>
      <w:r w:rsidRPr="00533F13">
        <w:t>–</w:t>
      </w:r>
      <w:r w:rsidRPr="00533F13">
        <w:tab/>
      </w:r>
      <w:r w:rsidR="008C4B66" w:rsidRPr="00533F13">
        <w:t>med beaktande av den preliminära överenskommelse som godkänts av det ansvariga utskottet enligt artikel 75.4 i arbetsordningen och det skriftliga åtagandet från rådets företrädare av den 16 december 2025 att godkänna parlamentets ståndpunkt i enlighet med artikel 294.4 i fördraget om Europeiska unionens funktionssätt,</w:t>
      </w:r>
    </w:p>
    <w:bookmarkEnd w:id="7"/>
    <w:p w14:paraId="625536E9" w14:textId="77777777" w:rsidR="00A759B2" w:rsidRPr="00533F13" w:rsidRDefault="00A759B2" w:rsidP="00A759B2">
      <w:pPr>
        <w:pStyle w:val="NormalHanging12a"/>
      </w:pPr>
      <w:r w:rsidRPr="00533F13">
        <w:lastRenderedPageBreak/>
        <w:t>–</w:t>
      </w:r>
      <w:r w:rsidRPr="00533F13">
        <w:tab/>
        <w:t>med beaktande av artikel 60 i arbetsordningen,</w:t>
      </w:r>
    </w:p>
    <w:p w14:paraId="7A2885B2" w14:textId="77777777" w:rsidR="00A759B2" w:rsidRPr="00533F13" w:rsidRDefault="00A759B2" w:rsidP="00A759B2">
      <w:pPr>
        <w:pStyle w:val="NormalHanging12a"/>
      </w:pPr>
      <w:r w:rsidRPr="00533F13">
        <w:t>–</w:t>
      </w:r>
      <w:r w:rsidRPr="00533F13">
        <w:tab/>
        <w:t>med beaktande av betänkandet från utskottet för jordbruk och landsbygdens utveckling (A10-0220/2025).</w:t>
      </w:r>
    </w:p>
    <w:p w14:paraId="7F9E03EF" w14:textId="77777777" w:rsidR="00A759B2" w:rsidRPr="00533F13" w:rsidRDefault="00A759B2" w:rsidP="00A759B2">
      <w:pPr>
        <w:pStyle w:val="NormalHanging12a"/>
      </w:pPr>
      <w:r w:rsidRPr="00533F13">
        <w:t>1.</w:t>
      </w:r>
      <w:r w:rsidRPr="00533F13">
        <w:tab/>
        <w:t>Europaparlamentet antar nedanstående ståndpunkt vid första behandlingen.</w:t>
      </w:r>
    </w:p>
    <w:p w14:paraId="25B27D48" w14:textId="65216B19" w:rsidR="008C4B66" w:rsidRPr="00533F13" w:rsidRDefault="008C4B66" w:rsidP="00A759B2">
      <w:pPr>
        <w:pStyle w:val="NormalHanging12a"/>
      </w:pPr>
      <w:r w:rsidRPr="00533F13">
        <w:t>2.</w:t>
      </w:r>
      <w:r w:rsidRPr="00533F13">
        <w:tab/>
        <w:t xml:space="preserve">Europaparlamentet tar del av kommissionens uttalande, som bifogas denna resolution och som kommer att offentliggöras i </w:t>
      </w:r>
      <w:r w:rsidRPr="00533F13">
        <w:rPr>
          <w:i/>
          <w:iCs/>
        </w:rPr>
        <w:t>Europeiska unionens officiella tidning</w:t>
      </w:r>
      <w:r w:rsidRPr="00533F13">
        <w:t xml:space="preserve"> (C-serien).</w:t>
      </w:r>
    </w:p>
    <w:p w14:paraId="6C09D4D8" w14:textId="50995DBA" w:rsidR="00A759B2" w:rsidRPr="00533F13" w:rsidRDefault="008C4B66" w:rsidP="00A759B2">
      <w:pPr>
        <w:pStyle w:val="NormalHanging12a"/>
      </w:pPr>
      <w:r w:rsidRPr="00533F13">
        <w:t>3</w:t>
      </w:r>
      <w:r w:rsidR="00A759B2" w:rsidRPr="00533F13">
        <w:t>.</w:t>
      </w:r>
      <w:r w:rsidR="00A759B2" w:rsidRPr="00533F13">
        <w:tab/>
        <w:t>Europaparlamentet uppmanar kommissionen att på nytt lägga fram ärendet för parlamentet om den ersätter, väsentligt ändrar eller har för avsikt att väsentligt ändra sitt förslag.</w:t>
      </w:r>
    </w:p>
    <w:p w14:paraId="3EB0CF35" w14:textId="2009ED9C" w:rsidR="00533F13" w:rsidRDefault="008C4B66" w:rsidP="00533F13">
      <w:pPr>
        <w:pStyle w:val="NormalHanging12a"/>
        <w:rPr>
          <w:b/>
          <w:i/>
        </w:rPr>
        <w:sectPr w:rsidR="00533F13" w:rsidSect="00DD025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533F13">
        <w:t>4</w:t>
      </w:r>
      <w:r w:rsidR="00A759B2" w:rsidRPr="00533F13">
        <w:t>.</w:t>
      </w:r>
      <w:r w:rsidR="00A759B2" w:rsidRPr="00533F13">
        <w:tab/>
        <w:t>Europaparlamentet uppdrar åt talmannen att översända parlamentets ståndpunkt till rådet, kommissionen och de nationella parlamenten.</w:t>
      </w:r>
    </w:p>
    <w:p w14:paraId="3B9CCB28" w14:textId="25A9C5C6" w:rsidR="00533F13" w:rsidRDefault="00533F13" w:rsidP="00533F13">
      <w:pPr>
        <w:widowControl/>
        <w:spacing w:before="120" w:after="120"/>
        <w:rPr>
          <w:b/>
          <w:bCs/>
        </w:rPr>
      </w:pPr>
      <w:r>
        <w:rPr>
          <w:b/>
          <w:bCs/>
        </w:rPr>
        <w:lastRenderedPageBreak/>
        <w:t>P</w:t>
      </w:r>
      <w:r w:rsidR="008C4B66" w:rsidRPr="00533F13">
        <w:rPr>
          <w:b/>
          <w:bCs/>
        </w:rPr>
        <w:t>10_TC1-COD(2025)0071</w:t>
      </w:r>
    </w:p>
    <w:p w14:paraId="73E1A07D" w14:textId="5EF6C2D2" w:rsidR="00782E5A" w:rsidRDefault="008C4B66" w:rsidP="00533F13">
      <w:pPr>
        <w:widowControl/>
        <w:spacing w:before="120" w:after="120"/>
        <w:rPr>
          <w:rFonts w:eastAsia="Aptos"/>
          <w:b/>
          <w:kern w:val="2"/>
          <w:szCs w:val="24"/>
          <w:lang w:eastAsia="en-US"/>
          <w14:ligatures w14:val="standardContextual"/>
        </w:rPr>
      </w:pPr>
      <w:r w:rsidRPr="00533F13">
        <w:rPr>
          <w:b/>
          <w:bCs/>
        </w:rPr>
        <w:t xml:space="preserve">Europaparlamentets ståndpunkt fastställd vid första behandlingen den 10 februari 2026 inför antagandet av Europaparlamentets och rådets förordning (EU) 2026/… </w:t>
      </w:r>
      <w:r w:rsidR="00782E5A" w:rsidRPr="00533F13">
        <w:rPr>
          <w:rFonts w:eastAsia="Aptos"/>
          <w:b/>
          <w:kern w:val="2"/>
          <w:szCs w:val="24"/>
          <w:lang w:eastAsia="en-US"/>
          <w14:ligatures w14:val="standardContextual"/>
        </w:rPr>
        <w:t xml:space="preserve">om ändring av förordningarna (EU) nr 1308/2013, (EU) nr 251/2014 och (EU) 2021/2115 vad gäller vissa marknadsregler och sektorsspecifika stödåtgärder i vinsektorn och för aromatiserade </w:t>
      </w:r>
      <w:r w:rsidR="00782E5A" w:rsidRPr="0099794D">
        <w:rPr>
          <w:rFonts w:eastAsia="Aptos"/>
          <w:b/>
          <w:kern w:val="2"/>
          <w:szCs w:val="24"/>
          <w:lang w:eastAsia="en-US"/>
          <w14:ligatures w14:val="standardContextual"/>
        </w:rPr>
        <w:t>vinprodukter och förordning (EU) 2024/1143 vad gäller vissa märkningsregler för spritdrycker</w:t>
      </w:r>
    </w:p>
    <w:p w14:paraId="4BD8F00A" w14:textId="35D6487D" w:rsidR="0099794D" w:rsidRPr="0099794D" w:rsidRDefault="0099794D" w:rsidP="0099794D">
      <w:pPr>
        <w:widowControl/>
        <w:spacing w:before="360"/>
        <w:rPr>
          <w:szCs w:val="24"/>
        </w:rPr>
      </w:pPr>
      <w:r w:rsidRPr="0099794D">
        <w:rPr>
          <w:i/>
          <w:szCs w:val="24"/>
          <w:lang w:eastAsia="en-US"/>
        </w:rPr>
        <w:t>(Eftersom det nåddes en överenskommelse mellan parlamentet och rådet, motsvarar parlamentets ståndpunkt den slutliga rättsakten, förordning</w:t>
      </w:r>
      <w:r w:rsidRPr="0099794D">
        <w:rPr>
          <w:i/>
          <w:szCs w:val="24"/>
          <w:lang w:eastAsia="en-US"/>
        </w:rPr>
        <w:t xml:space="preserve"> </w:t>
      </w:r>
      <w:r w:rsidRPr="0099794D">
        <w:rPr>
          <w:i/>
          <w:szCs w:val="24"/>
          <w:lang w:eastAsia="en-US"/>
        </w:rPr>
        <w:t>(EU) 202</w:t>
      </w:r>
      <w:r w:rsidRPr="0099794D">
        <w:rPr>
          <w:i/>
          <w:szCs w:val="24"/>
          <w:lang w:eastAsia="en-US"/>
        </w:rPr>
        <w:t>6</w:t>
      </w:r>
      <w:r w:rsidRPr="0099794D">
        <w:rPr>
          <w:i/>
          <w:szCs w:val="24"/>
          <w:lang w:eastAsia="en-US"/>
        </w:rPr>
        <w:t>/</w:t>
      </w:r>
      <w:r w:rsidRPr="0099794D">
        <w:rPr>
          <w:i/>
          <w:szCs w:val="24"/>
          <w:lang w:eastAsia="en-US"/>
        </w:rPr>
        <w:t>471</w:t>
      </w:r>
      <w:r w:rsidRPr="0099794D">
        <w:rPr>
          <w:i/>
          <w:szCs w:val="24"/>
          <w:lang w:eastAsia="en-US"/>
        </w:rPr>
        <w:t>.)</w:t>
      </w:r>
    </w:p>
    <w:p w14:paraId="5C7D8546" w14:textId="77777777" w:rsidR="0099794D" w:rsidRPr="0099794D" w:rsidRDefault="0099794D" w:rsidP="0099794D">
      <w:pPr>
        <w:widowControl/>
        <w:jc w:val="both"/>
        <w:rPr>
          <w:szCs w:val="24"/>
        </w:rPr>
      </w:pPr>
    </w:p>
    <w:p w14:paraId="6FA9456A" w14:textId="77777777" w:rsidR="0099794D" w:rsidRPr="0099794D" w:rsidRDefault="0099794D" w:rsidP="00533F13">
      <w:pPr>
        <w:widowControl/>
        <w:spacing w:before="120" w:after="120"/>
        <w:rPr>
          <w:rFonts w:eastAsia="Calibri"/>
          <w:b/>
          <w:szCs w:val="22"/>
          <w:lang w:eastAsia="en-US"/>
        </w:rPr>
      </w:pPr>
    </w:p>
    <w:p w14:paraId="1C4D5ABD" w14:textId="69DCC7A9" w:rsidR="0099794D" w:rsidRDefault="0099794D">
      <w:pPr>
        <w:widowControl/>
        <w:rPr>
          <w:b/>
          <w:bCs/>
        </w:rPr>
      </w:pPr>
      <w:r>
        <w:rPr>
          <w:b/>
          <w:bCs/>
        </w:rPr>
        <w:br w:type="page"/>
      </w:r>
    </w:p>
    <w:p w14:paraId="5AA84D27" w14:textId="27716D10" w:rsidR="00E365E1" w:rsidRPr="00533F13" w:rsidRDefault="000D6C8E" w:rsidP="00533F13">
      <w:pPr>
        <w:spacing w:before="120" w:after="120"/>
        <w:jc w:val="right"/>
      </w:pPr>
      <w:r w:rsidRPr="00533F13">
        <w:lastRenderedPageBreak/>
        <w:t>BILAGA TILL LAGSTIFTNINGSRESOLUTIONEN</w:t>
      </w:r>
    </w:p>
    <w:p w14:paraId="2A6FAC70" w14:textId="77777777" w:rsidR="000D6C8E" w:rsidRPr="00533F13" w:rsidRDefault="000D6C8E" w:rsidP="000D6C8E">
      <w:pPr>
        <w:jc w:val="right"/>
      </w:pPr>
    </w:p>
    <w:p w14:paraId="42B03ABD" w14:textId="46BB9878" w:rsidR="000D6C8E" w:rsidRPr="00533F13" w:rsidRDefault="000D6C8E" w:rsidP="00533F13">
      <w:pPr>
        <w:spacing w:before="120" w:after="120" w:line="360" w:lineRule="auto"/>
        <w:jc w:val="center"/>
        <w:rPr>
          <w:rFonts w:eastAsia="Aptos"/>
          <w:iCs/>
          <w:kern w:val="2"/>
          <w:szCs w:val="24"/>
          <w:lang w:eastAsia="en-US"/>
          <w14:ligatures w14:val="standardContextual"/>
        </w:rPr>
      </w:pPr>
      <w:r w:rsidRPr="00533F13">
        <w:rPr>
          <w:rFonts w:eastAsia="Aptos"/>
          <w:iCs/>
          <w:kern w:val="2"/>
          <w:szCs w:val="24"/>
          <w:lang w:eastAsia="en-US"/>
          <w14:ligatures w14:val="standardContextual"/>
        </w:rPr>
        <w:t>Kommissionens uttalande med anledning av antagandet av Europaparlamentets och rådets förordning (EU) 2026/</w:t>
      </w:r>
      <w:r w:rsidR="0099794D">
        <w:rPr>
          <w:rFonts w:eastAsia="Aptos"/>
          <w:iCs/>
          <w:kern w:val="2"/>
          <w:szCs w:val="24"/>
          <w:lang w:eastAsia="en-US"/>
          <w14:ligatures w14:val="standardContextual"/>
        </w:rPr>
        <w:t>471</w:t>
      </w:r>
      <w:r w:rsidRPr="00533F13">
        <w:rPr>
          <w:rFonts w:eastAsia="Aptos"/>
          <w:iCs/>
          <w:kern w:val="2"/>
          <w:szCs w:val="24"/>
          <w:lang w:eastAsia="en-US"/>
          <w14:ligatures w14:val="standardContextual"/>
        </w:rPr>
        <w:t xml:space="preserve"> av </w:t>
      </w:r>
      <w:r w:rsidRPr="00827FFE">
        <w:rPr>
          <w:rFonts w:eastAsia="Aptos"/>
          <w:iCs/>
          <w:kern w:val="2"/>
          <w:szCs w:val="24"/>
          <w:lang w:eastAsia="en-US"/>
          <w14:ligatures w14:val="standardContextual"/>
        </w:rPr>
        <w:t xml:space="preserve">den </w:t>
      </w:r>
      <w:r w:rsidR="0099794D" w:rsidRPr="00827FFE">
        <w:rPr>
          <w:rFonts w:eastAsia="Aptos"/>
          <w:iCs/>
          <w:kern w:val="2"/>
          <w:szCs w:val="24"/>
          <w:lang w:eastAsia="en-US"/>
          <w14:ligatures w14:val="standardContextual"/>
        </w:rPr>
        <w:t>24 februari</w:t>
      </w:r>
      <w:r w:rsidRPr="00827FFE">
        <w:rPr>
          <w:rFonts w:eastAsia="Aptos"/>
          <w:iCs/>
          <w:kern w:val="2"/>
          <w:szCs w:val="24"/>
          <w:lang w:eastAsia="en-US"/>
          <w14:ligatures w14:val="standardContextual"/>
        </w:rPr>
        <w:t xml:space="preserve"> 2026</w:t>
      </w:r>
      <w:r w:rsidR="00827FFE" w:rsidRPr="00827FFE">
        <w:rPr>
          <w:rStyle w:val="FootnoteReference"/>
          <w:rFonts w:eastAsia="Aptos"/>
          <w:kern w:val="2"/>
          <w:szCs w:val="24"/>
          <w:lang w:eastAsia="en-US"/>
          <w14:ligatures w14:val="standardContextual"/>
        </w:rPr>
        <w:footnoteReference w:id="3"/>
      </w:r>
      <w:r w:rsidRPr="00827FFE">
        <w:rPr>
          <w:rFonts w:eastAsia="Aptos"/>
          <w:iCs/>
          <w:kern w:val="2"/>
          <w:szCs w:val="24"/>
          <w:lang w:eastAsia="en-US"/>
          <w14:ligatures w14:val="standardContextual"/>
        </w:rPr>
        <w:t xml:space="preserve"> om ändring</w:t>
      </w:r>
      <w:r w:rsidRPr="00533F13">
        <w:rPr>
          <w:rFonts w:eastAsia="Aptos"/>
          <w:iCs/>
          <w:kern w:val="2"/>
          <w:szCs w:val="24"/>
          <w:lang w:eastAsia="en-US"/>
          <w14:ligatures w14:val="standardContextual"/>
        </w:rPr>
        <w:t xml:space="preserve"> av förordningarna (EU) nr 1308/2013, (EU) nr 251/2014 och (EU) 2021/2115 vad gäller marknadsregler och sektorspecifika stödåtgärder i vinsektorn och för aromatiserade vinprodukter och förordning (EU) 2024/1143 vad gäller märkningsregler för spritdrycker</w:t>
      </w:r>
    </w:p>
    <w:p w14:paraId="4FB8E99B" w14:textId="77777777" w:rsidR="000D6C8E" w:rsidRPr="00533F13" w:rsidRDefault="000D6C8E" w:rsidP="00533F13">
      <w:pPr>
        <w:widowControl/>
        <w:spacing w:before="120" w:after="120" w:line="360" w:lineRule="auto"/>
        <w:rPr>
          <w:rFonts w:eastAsia="Aptos"/>
          <w:iCs/>
          <w:kern w:val="2"/>
          <w:szCs w:val="24"/>
          <w:lang w:eastAsia="en-US"/>
          <w14:ligatures w14:val="standardContextual"/>
        </w:rPr>
      </w:pPr>
      <w:r w:rsidRPr="00533F13">
        <w:rPr>
          <w:rFonts w:eastAsia="Aptos"/>
          <w:iCs/>
          <w:kern w:val="2"/>
          <w:szCs w:val="24"/>
          <w:lang w:eastAsia="en-US"/>
          <w14:ligatures w14:val="standardContextual"/>
        </w:rPr>
        <w:t xml:space="preserve">Kommissionen ska göra sitt yttersta för att under 2026 lägga fram följande för den berörda expertgruppen eller kommittén: </w:t>
      </w:r>
    </w:p>
    <w:p w14:paraId="03E6C956" w14:textId="77777777" w:rsidR="000D6C8E" w:rsidRPr="00533F13" w:rsidRDefault="000D6C8E" w:rsidP="00533F13">
      <w:pPr>
        <w:widowControl/>
        <w:spacing w:before="120" w:after="120" w:line="360" w:lineRule="auto"/>
        <w:ind w:left="851" w:hanging="851"/>
        <w:rPr>
          <w:rFonts w:eastAsia="Aptos"/>
          <w:iCs/>
          <w:kern w:val="2"/>
          <w:szCs w:val="24"/>
          <w:lang w:eastAsia="en-US"/>
          <w14:ligatures w14:val="standardContextual"/>
        </w:rPr>
      </w:pPr>
      <w:r w:rsidRPr="00533F13">
        <w:rPr>
          <w:rFonts w:eastAsia="Aptos"/>
          <w:iCs/>
          <w:kern w:val="2"/>
          <w:szCs w:val="24"/>
          <w:lang w:eastAsia="en-US"/>
          <w14:ligatures w14:val="standardContextual"/>
        </w:rPr>
        <w:t>1)</w:t>
      </w:r>
      <w:r w:rsidRPr="00533F13">
        <w:rPr>
          <w:rFonts w:eastAsia="Aptos"/>
          <w:iCs/>
          <w:kern w:val="2"/>
          <w:szCs w:val="24"/>
          <w:lang w:eastAsia="en-US"/>
          <w14:ligatures w14:val="standardContextual"/>
        </w:rPr>
        <w:tab/>
        <w:t xml:space="preserve">Ett förslag till genomförandeakt om ändring av förordning (EU) 2018/274 vad gäller möjligheten att förlänga tillämpningen av det </w:t>
      </w:r>
      <w:r w:rsidRPr="00533F13">
        <w:rPr>
          <w:rFonts w:eastAsia="Aptos"/>
          <w:b/>
          <w:bCs/>
          <w:iCs/>
          <w:kern w:val="2"/>
          <w:szCs w:val="24"/>
          <w:lang w:eastAsia="en-US"/>
          <w14:ligatures w14:val="standardContextual"/>
        </w:rPr>
        <w:t>förenklade förfarandet för beviljande av tillstånd</w:t>
      </w:r>
      <w:r w:rsidRPr="00533F13">
        <w:rPr>
          <w:rFonts w:eastAsia="Aptos"/>
          <w:iCs/>
          <w:kern w:val="2"/>
          <w:szCs w:val="24"/>
          <w:lang w:eastAsia="en-US"/>
          <w14:ligatures w14:val="standardContextual"/>
        </w:rPr>
        <w:t xml:space="preserve"> </w:t>
      </w:r>
      <w:r w:rsidRPr="00533F13">
        <w:rPr>
          <w:rFonts w:eastAsia="Aptos"/>
          <w:b/>
          <w:bCs/>
          <w:iCs/>
          <w:kern w:val="2"/>
          <w:szCs w:val="24"/>
          <w:lang w:eastAsia="en-US"/>
          <w14:ligatures w14:val="standardContextual"/>
        </w:rPr>
        <w:t>för återplantering</w:t>
      </w:r>
      <w:r w:rsidRPr="00533F13">
        <w:rPr>
          <w:rFonts w:eastAsia="Aptos"/>
          <w:iCs/>
          <w:kern w:val="2"/>
          <w:szCs w:val="24"/>
          <w:lang w:eastAsia="en-US"/>
          <w14:ligatures w14:val="standardContextual"/>
        </w:rPr>
        <w:t xml:space="preserve"> som fastställs i artikel 9 i den förordningen.</w:t>
      </w:r>
    </w:p>
    <w:p w14:paraId="47C69C8B" w14:textId="77777777" w:rsidR="000D6C8E" w:rsidRPr="00533F13" w:rsidRDefault="000D6C8E" w:rsidP="00533F13">
      <w:pPr>
        <w:widowControl/>
        <w:spacing w:before="120" w:after="120" w:line="360" w:lineRule="auto"/>
        <w:ind w:left="851" w:hanging="851"/>
        <w:rPr>
          <w:rFonts w:eastAsia="Aptos"/>
          <w:iCs/>
          <w:kern w:val="2"/>
          <w:szCs w:val="24"/>
          <w:lang w:eastAsia="en-US"/>
          <w14:ligatures w14:val="standardContextual"/>
        </w:rPr>
      </w:pPr>
      <w:r w:rsidRPr="00533F13">
        <w:rPr>
          <w:rFonts w:eastAsia="Aptos"/>
          <w:iCs/>
          <w:kern w:val="2"/>
          <w:szCs w:val="24"/>
          <w:lang w:eastAsia="en-US"/>
          <w14:ligatures w14:val="standardContextual"/>
        </w:rPr>
        <w:t>2)</w:t>
      </w:r>
      <w:r w:rsidRPr="00533F13">
        <w:rPr>
          <w:rFonts w:eastAsia="Aptos"/>
          <w:iCs/>
          <w:kern w:val="2"/>
          <w:szCs w:val="24"/>
          <w:lang w:eastAsia="en-US"/>
          <w14:ligatures w14:val="standardContextual"/>
        </w:rPr>
        <w:tab/>
        <w:t xml:space="preserve">Ett förslag till ändring av kommissionens delegerade förordning (EU) 2019/33 för att fastställa unionens system för identifiering på förpackningen eller etiketten för vinprodukter </w:t>
      </w:r>
      <w:r w:rsidRPr="00533F13">
        <w:rPr>
          <w:rFonts w:eastAsia="Aptos"/>
          <w:b/>
          <w:bCs/>
          <w:iCs/>
          <w:kern w:val="2"/>
          <w:szCs w:val="24"/>
          <w:lang w:eastAsia="en-US"/>
          <w14:ligatures w14:val="standardContextual"/>
        </w:rPr>
        <w:t>av</w:t>
      </w:r>
      <w:r w:rsidRPr="00533F13">
        <w:rPr>
          <w:rFonts w:eastAsia="Aptos"/>
          <w:iCs/>
          <w:kern w:val="2"/>
          <w:szCs w:val="24"/>
          <w:lang w:eastAsia="en-US"/>
          <w14:ligatures w14:val="standardContextual"/>
        </w:rPr>
        <w:t xml:space="preserve"> </w:t>
      </w:r>
      <w:r w:rsidRPr="00533F13">
        <w:rPr>
          <w:rFonts w:eastAsia="Aptos"/>
          <w:b/>
          <w:bCs/>
          <w:iCs/>
          <w:kern w:val="2"/>
          <w:szCs w:val="24"/>
          <w:lang w:eastAsia="en-US"/>
          <w14:ligatures w14:val="standardContextual"/>
        </w:rPr>
        <w:t>den elektroniska väg</w:t>
      </w:r>
      <w:r w:rsidRPr="00533F13">
        <w:rPr>
          <w:rFonts w:eastAsia="Aptos"/>
          <w:iCs/>
          <w:kern w:val="2"/>
          <w:szCs w:val="24"/>
          <w:lang w:eastAsia="en-US"/>
          <w14:ligatures w14:val="standardContextual"/>
        </w:rPr>
        <w:t xml:space="preserve"> som avses i artikel 119.4 och 119.5 i förordning (EU) nr 1308/2013.</w:t>
      </w:r>
    </w:p>
    <w:p w14:paraId="29705218" w14:textId="77777777" w:rsidR="000D6C8E" w:rsidRPr="00533F13" w:rsidRDefault="000D6C8E" w:rsidP="00533F13">
      <w:pPr>
        <w:widowControl/>
        <w:spacing w:before="120" w:after="120" w:line="360" w:lineRule="auto"/>
        <w:ind w:left="851" w:hanging="851"/>
        <w:rPr>
          <w:rFonts w:eastAsia="Aptos"/>
          <w:iCs/>
          <w:kern w:val="2"/>
          <w:szCs w:val="24"/>
          <w:lang w:eastAsia="en-US"/>
          <w14:ligatures w14:val="standardContextual"/>
        </w:rPr>
      </w:pPr>
      <w:r w:rsidRPr="00533F13">
        <w:rPr>
          <w:rFonts w:eastAsia="Aptos"/>
          <w:iCs/>
          <w:kern w:val="2"/>
          <w:szCs w:val="24"/>
          <w:lang w:eastAsia="en-US"/>
          <w14:ligatures w14:val="standardContextual"/>
        </w:rPr>
        <w:t>3)</w:t>
      </w:r>
      <w:r w:rsidRPr="00533F13">
        <w:rPr>
          <w:rFonts w:eastAsia="Aptos"/>
          <w:iCs/>
          <w:kern w:val="2"/>
          <w:szCs w:val="24"/>
          <w:lang w:eastAsia="en-US"/>
          <w14:ligatures w14:val="standardContextual"/>
        </w:rPr>
        <w:tab/>
        <w:t xml:space="preserve">Ett förslag till ändring av kommissionens delegerade förordning (EU) 2019/934 för att i </w:t>
      </w:r>
      <w:r w:rsidRPr="00533F13">
        <w:rPr>
          <w:rFonts w:eastAsia="Aptos"/>
          <w:b/>
          <w:bCs/>
          <w:iCs/>
          <w:kern w:val="2"/>
          <w:szCs w:val="24"/>
          <w:lang w:eastAsia="en-US"/>
          <w14:ligatures w14:val="standardContextual"/>
        </w:rPr>
        <w:t>definitionen av blandning</w:t>
      </w:r>
      <w:r w:rsidRPr="00533F13">
        <w:rPr>
          <w:rFonts w:eastAsia="Aptos"/>
          <w:iCs/>
          <w:kern w:val="2"/>
          <w:szCs w:val="24"/>
          <w:lang w:eastAsia="en-US"/>
          <w14:ligatures w14:val="standardContextual"/>
        </w:rPr>
        <w:t xml:space="preserve"> (coupage) inkludera möjligheten att blanda avalkoholiserade eller delvis avalkoholiserade viner med icke-mousserande viner för att framställa delvis avalkoholiserade viner.</w:t>
      </w:r>
    </w:p>
    <w:p w14:paraId="550A3524" w14:textId="77777777" w:rsidR="000D6C8E" w:rsidRPr="000D6C8E" w:rsidRDefault="000D6C8E" w:rsidP="00533F13">
      <w:pPr>
        <w:widowControl/>
        <w:spacing w:before="120" w:after="120" w:line="360" w:lineRule="auto"/>
        <w:ind w:left="851" w:hanging="851"/>
        <w:rPr>
          <w:rFonts w:eastAsia="Aptos"/>
          <w:iCs/>
          <w:kern w:val="2"/>
          <w:szCs w:val="24"/>
          <w:lang w:eastAsia="en-US"/>
          <w14:ligatures w14:val="standardContextual"/>
        </w:rPr>
      </w:pPr>
      <w:r w:rsidRPr="00533F13">
        <w:rPr>
          <w:rFonts w:eastAsia="Aptos"/>
          <w:iCs/>
          <w:kern w:val="2"/>
          <w:szCs w:val="24"/>
          <w:lang w:eastAsia="en-US"/>
          <w14:ligatures w14:val="standardContextual"/>
        </w:rPr>
        <w:t>4)</w:t>
      </w:r>
      <w:r w:rsidRPr="00533F13">
        <w:rPr>
          <w:rFonts w:eastAsia="Aptos"/>
          <w:iCs/>
          <w:kern w:val="2"/>
          <w:szCs w:val="24"/>
          <w:lang w:eastAsia="en-US"/>
          <w14:ligatures w14:val="standardContextual"/>
        </w:rPr>
        <w:tab/>
        <w:t>Ett förslag till delegerad akt som fastställer villkoren för</w:t>
      </w:r>
      <w:r w:rsidRPr="00533F13">
        <w:rPr>
          <w:rFonts w:eastAsia="Aptos"/>
          <w:b/>
          <w:bCs/>
          <w:iCs/>
          <w:kern w:val="2"/>
          <w:szCs w:val="24"/>
          <w:lang w:eastAsia="en-US"/>
          <w14:ligatures w14:val="standardContextual"/>
        </w:rPr>
        <w:t xml:space="preserve"> röjning av övergivna vinodlingar</w:t>
      </w:r>
      <w:r w:rsidRPr="00533F13">
        <w:rPr>
          <w:rFonts w:eastAsia="Aptos"/>
          <w:iCs/>
          <w:kern w:val="2"/>
          <w:szCs w:val="24"/>
          <w:lang w:eastAsia="en-US"/>
          <w14:ligatures w14:val="standardContextual"/>
        </w:rPr>
        <w:t xml:space="preserve"> enligt den nya artikel 62.6 i förordning (EU) nr 1308/2013.</w:t>
      </w:r>
    </w:p>
    <w:p w14:paraId="389588E7" w14:textId="77777777" w:rsidR="000D6C8E" w:rsidRPr="000D6C8E" w:rsidRDefault="000D6C8E" w:rsidP="00533F13">
      <w:pPr>
        <w:jc w:val="right"/>
      </w:pPr>
    </w:p>
    <w:sectPr w:rsidR="000D6C8E" w:rsidRPr="000D6C8E" w:rsidSect="00DD025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38069B" w14:textId="77777777" w:rsidR="007916A2" w:rsidRPr="00DD0252" w:rsidRDefault="007916A2">
      <w:r w:rsidRPr="00DD0252">
        <w:separator/>
      </w:r>
    </w:p>
  </w:endnote>
  <w:endnote w:type="continuationSeparator" w:id="0">
    <w:p w14:paraId="4BEB210F" w14:textId="77777777" w:rsidR="007916A2" w:rsidRPr="00DD0252" w:rsidRDefault="007916A2">
      <w:r w:rsidRPr="00DD025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6E81A" w14:textId="77777777" w:rsidR="00064002" w:rsidRPr="00DD025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25250" w14:textId="77777777" w:rsidR="00064002" w:rsidRPr="00DD025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C4D70" w14:textId="77777777" w:rsidR="00064002" w:rsidRPr="00DD025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D65124" w14:textId="77777777" w:rsidR="007916A2" w:rsidRPr="00DD0252" w:rsidRDefault="007916A2">
      <w:r w:rsidRPr="00DD0252">
        <w:separator/>
      </w:r>
    </w:p>
  </w:footnote>
  <w:footnote w:type="continuationSeparator" w:id="0">
    <w:p w14:paraId="60121657" w14:textId="77777777" w:rsidR="007916A2" w:rsidRPr="00DD0252" w:rsidRDefault="007916A2">
      <w:r w:rsidRPr="00DD0252">
        <w:continuationSeparator/>
      </w:r>
    </w:p>
  </w:footnote>
  <w:footnote w:id="1">
    <w:p w14:paraId="465F727C" w14:textId="2A91C6DD" w:rsidR="00A759B2" w:rsidRPr="00533F13" w:rsidRDefault="00A759B2" w:rsidP="006C134B">
      <w:pPr>
        <w:pStyle w:val="FootnoteText"/>
        <w:ind w:left="851" w:hanging="851"/>
        <w:rPr>
          <w:sz w:val="24"/>
          <w:szCs w:val="24"/>
          <w:lang w:val="fi-FI"/>
        </w:rPr>
      </w:pPr>
      <w:r w:rsidRPr="00DD0252">
        <w:rPr>
          <w:rStyle w:val="FootnoteReference"/>
          <w:sz w:val="24"/>
          <w:szCs w:val="24"/>
          <w:lang w:val="sv-SE"/>
        </w:rPr>
        <w:footnoteRef/>
      </w:r>
      <w:r w:rsidR="00DD0252" w:rsidRPr="00533F13">
        <w:rPr>
          <w:sz w:val="24"/>
          <w:lang w:val="fi-FI"/>
        </w:rPr>
        <w:t xml:space="preserve"> </w:t>
      </w:r>
      <w:r w:rsidR="00DD0252" w:rsidRPr="00533F13">
        <w:rPr>
          <w:sz w:val="24"/>
          <w:lang w:val="fi-FI"/>
        </w:rPr>
        <w:tab/>
      </w:r>
      <w:r w:rsidRPr="00533F13">
        <w:rPr>
          <w:sz w:val="24"/>
          <w:lang w:val="fi-FI"/>
        </w:rPr>
        <w:t>EUT C, C/202</w:t>
      </w:r>
      <w:r w:rsidR="000C6298" w:rsidRPr="00533F13">
        <w:rPr>
          <w:sz w:val="24"/>
          <w:lang w:val="fi-FI"/>
        </w:rPr>
        <w:t>5</w:t>
      </w:r>
      <w:r w:rsidRPr="00533F13">
        <w:rPr>
          <w:sz w:val="24"/>
          <w:lang w:val="fi-FI"/>
        </w:rPr>
        <w:t>/</w:t>
      </w:r>
      <w:r w:rsidR="000C6298" w:rsidRPr="00533F13">
        <w:rPr>
          <w:sz w:val="24"/>
          <w:lang w:val="fi-FI"/>
        </w:rPr>
        <w:t>5161</w:t>
      </w:r>
      <w:r w:rsidRPr="00533F13">
        <w:rPr>
          <w:sz w:val="24"/>
          <w:lang w:val="fi-FI"/>
        </w:rPr>
        <w:t xml:space="preserve">, </w:t>
      </w:r>
      <w:r w:rsidR="000C6298" w:rsidRPr="00533F13">
        <w:rPr>
          <w:sz w:val="24"/>
          <w:lang w:val="fi-FI"/>
        </w:rPr>
        <w:t>28</w:t>
      </w:r>
      <w:r w:rsidRPr="00533F13">
        <w:rPr>
          <w:sz w:val="24"/>
          <w:lang w:val="fi-FI"/>
        </w:rPr>
        <w:t>.</w:t>
      </w:r>
      <w:r w:rsidR="000C6298" w:rsidRPr="00533F13">
        <w:rPr>
          <w:sz w:val="24"/>
          <w:lang w:val="fi-FI"/>
        </w:rPr>
        <w:t>10</w:t>
      </w:r>
      <w:r w:rsidRPr="00533F13">
        <w:rPr>
          <w:sz w:val="24"/>
          <w:lang w:val="fi-FI"/>
        </w:rPr>
        <w:t>.</w:t>
      </w:r>
      <w:r w:rsidR="000C6298" w:rsidRPr="00533F13">
        <w:rPr>
          <w:sz w:val="24"/>
          <w:lang w:val="fi-FI"/>
        </w:rPr>
        <w:t>2025</w:t>
      </w:r>
      <w:r w:rsidRPr="00533F13">
        <w:rPr>
          <w:sz w:val="24"/>
          <w:lang w:val="fi-FI"/>
        </w:rPr>
        <w:t xml:space="preserve">, ELI: </w:t>
      </w:r>
      <w:hyperlink r:id="rId1" w:history="1">
        <w:r w:rsidRPr="00901AF5">
          <w:rPr>
            <w:rStyle w:val="Hyperlink"/>
            <w:sz w:val="24"/>
            <w:lang w:val="fi-FI"/>
          </w:rPr>
          <w:t>http://data.europa.eu/eli/C/202</w:t>
        </w:r>
        <w:r w:rsidR="000C6298" w:rsidRPr="00901AF5">
          <w:rPr>
            <w:rStyle w:val="Hyperlink"/>
            <w:sz w:val="24"/>
            <w:lang w:val="fi-FI"/>
          </w:rPr>
          <w:t>5</w:t>
        </w:r>
        <w:r w:rsidRPr="00901AF5">
          <w:rPr>
            <w:rStyle w:val="Hyperlink"/>
            <w:sz w:val="24"/>
            <w:lang w:val="fi-FI"/>
          </w:rPr>
          <w:t>/</w:t>
        </w:r>
        <w:r w:rsidR="000C6298" w:rsidRPr="00901AF5">
          <w:rPr>
            <w:rStyle w:val="Hyperlink"/>
            <w:sz w:val="24"/>
            <w:lang w:val="fi-FI"/>
          </w:rPr>
          <w:t>5161</w:t>
        </w:r>
        <w:r w:rsidRPr="00901AF5">
          <w:rPr>
            <w:rStyle w:val="Hyperlink"/>
            <w:sz w:val="24"/>
            <w:lang w:val="fi-FI"/>
          </w:rPr>
          <w:t>/oj</w:t>
        </w:r>
      </w:hyperlink>
      <w:r w:rsidRPr="00533F13">
        <w:rPr>
          <w:sz w:val="24"/>
          <w:lang w:val="fi-FI"/>
        </w:rPr>
        <w:t>.</w:t>
      </w:r>
    </w:p>
  </w:footnote>
  <w:footnote w:id="2">
    <w:p w14:paraId="56B7D79C" w14:textId="58CD1AD8" w:rsidR="00A759B2" w:rsidRPr="00533F13" w:rsidRDefault="00A759B2" w:rsidP="006C134B">
      <w:pPr>
        <w:pStyle w:val="FootnoteText"/>
        <w:ind w:left="851" w:hanging="851"/>
        <w:rPr>
          <w:sz w:val="24"/>
          <w:szCs w:val="24"/>
          <w:lang w:val="fi-FI"/>
        </w:rPr>
      </w:pPr>
      <w:r w:rsidRPr="00DD0252">
        <w:rPr>
          <w:rStyle w:val="FootnoteReference"/>
          <w:sz w:val="24"/>
          <w:szCs w:val="24"/>
          <w:lang w:val="sv-SE"/>
        </w:rPr>
        <w:footnoteRef/>
      </w:r>
      <w:r w:rsidR="00DD0252" w:rsidRPr="00533F13">
        <w:rPr>
          <w:sz w:val="24"/>
          <w:lang w:val="fi-FI"/>
        </w:rPr>
        <w:t xml:space="preserve"> </w:t>
      </w:r>
      <w:r w:rsidR="00DD0252" w:rsidRPr="00533F13">
        <w:rPr>
          <w:sz w:val="24"/>
          <w:lang w:val="fi-FI"/>
        </w:rPr>
        <w:tab/>
      </w:r>
      <w:r w:rsidRPr="00533F13">
        <w:rPr>
          <w:sz w:val="24"/>
          <w:lang w:val="fi-FI"/>
        </w:rPr>
        <w:t>EUT C, C/202</w:t>
      </w:r>
      <w:r w:rsidR="000C6298" w:rsidRPr="00533F13">
        <w:rPr>
          <w:sz w:val="24"/>
          <w:lang w:val="fi-FI"/>
        </w:rPr>
        <w:t>5</w:t>
      </w:r>
      <w:r w:rsidRPr="00533F13">
        <w:rPr>
          <w:sz w:val="24"/>
          <w:lang w:val="fi-FI"/>
        </w:rPr>
        <w:t>/</w:t>
      </w:r>
      <w:r w:rsidR="000C6298" w:rsidRPr="00533F13">
        <w:rPr>
          <w:sz w:val="24"/>
          <w:lang w:val="fi-FI"/>
        </w:rPr>
        <w:t>4418</w:t>
      </w:r>
      <w:r w:rsidRPr="00533F13">
        <w:rPr>
          <w:sz w:val="24"/>
          <w:lang w:val="fi-FI"/>
        </w:rPr>
        <w:t xml:space="preserve">, </w:t>
      </w:r>
      <w:r w:rsidR="000C6298" w:rsidRPr="00533F13">
        <w:rPr>
          <w:sz w:val="24"/>
          <w:lang w:val="fi-FI"/>
        </w:rPr>
        <w:t>29</w:t>
      </w:r>
      <w:r w:rsidRPr="00533F13">
        <w:rPr>
          <w:sz w:val="24"/>
          <w:lang w:val="fi-FI"/>
        </w:rPr>
        <w:t>.</w:t>
      </w:r>
      <w:r w:rsidR="000C6298" w:rsidRPr="00533F13">
        <w:rPr>
          <w:sz w:val="24"/>
          <w:lang w:val="fi-FI"/>
        </w:rPr>
        <w:t>8</w:t>
      </w:r>
      <w:r w:rsidRPr="00533F13">
        <w:rPr>
          <w:sz w:val="24"/>
          <w:lang w:val="fi-FI"/>
        </w:rPr>
        <w:t>.</w:t>
      </w:r>
      <w:r w:rsidR="000C6298" w:rsidRPr="00533F13">
        <w:rPr>
          <w:sz w:val="24"/>
          <w:lang w:val="fi-FI"/>
        </w:rPr>
        <w:t>2025</w:t>
      </w:r>
      <w:r w:rsidRPr="00533F13">
        <w:rPr>
          <w:sz w:val="24"/>
          <w:lang w:val="fi-FI"/>
        </w:rPr>
        <w:t xml:space="preserve">, ELI: </w:t>
      </w:r>
      <w:hyperlink r:id="rId2" w:history="1">
        <w:r w:rsidRPr="00901AF5">
          <w:rPr>
            <w:rStyle w:val="Hyperlink"/>
            <w:sz w:val="24"/>
            <w:lang w:val="fi-FI"/>
          </w:rPr>
          <w:t>http://data.europa.eu/eli/C/202</w:t>
        </w:r>
        <w:r w:rsidR="000C6298" w:rsidRPr="00901AF5">
          <w:rPr>
            <w:rStyle w:val="Hyperlink"/>
            <w:sz w:val="24"/>
            <w:lang w:val="fi-FI"/>
          </w:rPr>
          <w:t>5</w:t>
        </w:r>
        <w:r w:rsidRPr="00901AF5">
          <w:rPr>
            <w:rStyle w:val="Hyperlink"/>
            <w:sz w:val="24"/>
            <w:lang w:val="fi-FI"/>
          </w:rPr>
          <w:t>/</w:t>
        </w:r>
        <w:r w:rsidR="000C6298" w:rsidRPr="00901AF5">
          <w:rPr>
            <w:rStyle w:val="Hyperlink"/>
            <w:sz w:val="24"/>
            <w:lang w:val="fi-FI"/>
          </w:rPr>
          <w:t>4418</w:t>
        </w:r>
        <w:r w:rsidRPr="00901AF5">
          <w:rPr>
            <w:rStyle w:val="Hyperlink"/>
            <w:sz w:val="24"/>
            <w:lang w:val="fi-FI"/>
          </w:rPr>
          <w:t>/oj</w:t>
        </w:r>
      </w:hyperlink>
      <w:r w:rsidRPr="00533F13">
        <w:rPr>
          <w:sz w:val="24"/>
          <w:lang w:val="fi-FI"/>
        </w:rPr>
        <w:t>.</w:t>
      </w:r>
    </w:p>
  </w:footnote>
  <w:footnote w:id="3">
    <w:p w14:paraId="25D51B72" w14:textId="5D8B6A58" w:rsidR="00827FFE" w:rsidRPr="00DF2A5E" w:rsidRDefault="00827FFE" w:rsidP="00827FFE">
      <w:pPr>
        <w:pStyle w:val="FootnoteText"/>
        <w:ind w:left="709" w:hanging="709"/>
        <w:rPr>
          <w:sz w:val="24"/>
          <w:szCs w:val="24"/>
          <w:lang w:val="sk-SK"/>
        </w:rPr>
      </w:pPr>
      <w:r w:rsidRPr="00827FFE">
        <w:rPr>
          <w:rStyle w:val="FootnoteReference"/>
          <w:sz w:val="24"/>
          <w:szCs w:val="24"/>
        </w:rPr>
        <w:footnoteRef/>
      </w:r>
      <w:r w:rsidRPr="00827FFE">
        <w:rPr>
          <w:sz w:val="24"/>
          <w:szCs w:val="24"/>
          <w:lang w:val="fi-FI"/>
        </w:rPr>
        <w:t xml:space="preserve"> </w:t>
      </w:r>
      <w:r w:rsidRPr="00827FFE">
        <w:rPr>
          <w:sz w:val="24"/>
          <w:szCs w:val="24"/>
          <w:lang w:val="sk-SK"/>
        </w:rPr>
        <w:tab/>
      </w:r>
      <w:r w:rsidRPr="00827FFE">
        <w:rPr>
          <w:sz w:val="24"/>
          <w:szCs w:val="24"/>
          <w:lang w:val="sk-SK"/>
        </w:rPr>
        <w:t>EUT</w:t>
      </w:r>
      <w:r w:rsidRPr="00827FFE">
        <w:rPr>
          <w:sz w:val="24"/>
          <w:szCs w:val="24"/>
          <w:lang w:val="sk-SK"/>
        </w:rPr>
        <w:t xml:space="preserve"> L, 2026/471, 26.2.2026, ELI: </w:t>
      </w:r>
      <w:hyperlink r:id="rId3" w:history="1">
        <w:r w:rsidRPr="00827FFE">
          <w:rPr>
            <w:rStyle w:val="Hyperlink"/>
            <w:sz w:val="24"/>
            <w:szCs w:val="24"/>
            <w:lang w:val="sk-SK"/>
          </w:rPr>
          <w:t>http://data.europa.eu/eli/reg/2026/471/oj</w:t>
        </w:r>
      </w:hyperlink>
      <w:r w:rsidRPr="00827FFE">
        <w:rPr>
          <w:sz w:val="24"/>
          <w:szCs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668AB" w14:textId="77777777" w:rsidR="00064002" w:rsidRPr="00DD025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5A573" w14:textId="77777777" w:rsidR="00064002" w:rsidRPr="00DD025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A7DD6" w14:textId="77777777" w:rsidR="00064002" w:rsidRPr="00DD025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0E5A5721"/>
    <w:multiLevelType w:val="hybridMultilevel"/>
    <w:tmpl w:val="C480F63A"/>
    <w:lvl w:ilvl="0" w:tplc="543E3460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64090963">
    <w:abstractNumId w:val="9"/>
  </w:num>
  <w:num w:numId="2" w16cid:durableId="1736974717">
    <w:abstractNumId w:val="9"/>
  </w:num>
  <w:num w:numId="3" w16cid:durableId="1799370888">
    <w:abstractNumId w:val="7"/>
  </w:num>
  <w:num w:numId="4" w16cid:durableId="433482615">
    <w:abstractNumId w:val="7"/>
  </w:num>
  <w:num w:numId="5" w16cid:durableId="775295598">
    <w:abstractNumId w:val="6"/>
  </w:num>
  <w:num w:numId="6" w16cid:durableId="1125348664">
    <w:abstractNumId w:val="6"/>
  </w:num>
  <w:num w:numId="7" w16cid:durableId="230190043">
    <w:abstractNumId w:val="5"/>
  </w:num>
  <w:num w:numId="8" w16cid:durableId="848375000">
    <w:abstractNumId w:val="5"/>
  </w:num>
  <w:num w:numId="9" w16cid:durableId="1689136066">
    <w:abstractNumId w:val="4"/>
  </w:num>
  <w:num w:numId="10" w16cid:durableId="1221793698">
    <w:abstractNumId w:val="4"/>
  </w:num>
  <w:num w:numId="11" w16cid:durableId="1713723105">
    <w:abstractNumId w:val="8"/>
  </w:num>
  <w:num w:numId="12" w16cid:durableId="421724175">
    <w:abstractNumId w:val="8"/>
  </w:num>
  <w:num w:numId="13" w16cid:durableId="1495953014">
    <w:abstractNumId w:val="3"/>
  </w:num>
  <w:num w:numId="14" w16cid:durableId="738481996">
    <w:abstractNumId w:val="3"/>
  </w:num>
  <w:num w:numId="15" w16cid:durableId="251817409">
    <w:abstractNumId w:val="2"/>
  </w:num>
  <w:num w:numId="16" w16cid:durableId="1060834949">
    <w:abstractNumId w:val="2"/>
  </w:num>
  <w:num w:numId="17" w16cid:durableId="2008554524">
    <w:abstractNumId w:val="1"/>
  </w:num>
  <w:num w:numId="18" w16cid:durableId="825319438">
    <w:abstractNumId w:val="1"/>
  </w:num>
  <w:num w:numId="19" w16cid:durableId="36317928">
    <w:abstractNumId w:val="0"/>
  </w:num>
  <w:num w:numId="20" w16cid:durableId="395247758">
    <w:abstractNumId w:val="0"/>
  </w:num>
  <w:num w:numId="21" w16cid:durableId="1487283963">
    <w:abstractNumId w:val="9"/>
  </w:num>
  <w:num w:numId="22" w16cid:durableId="1969823948">
    <w:abstractNumId w:val="7"/>
  </w:num>
  <w:num w:numId="23" w16cid:durableId="1108936121">
    <w:abstractNumId w:val="6"/>
  </w:num>
  <w:num w:numId="24" w16cid:durableId="283462582">
    <w:abstractNumId w:val="5"/>
  </w:num>
  <w:num w:numId="25" w16cid:durableId="849369169">
    <w:abstractNumId w:val="4"/>
  </w:num>
  <w:num w:numId="26" w16cid:durableId="1513180807">
    <w:abstractNumId w:val="8"/>
  </w:num>
  <w:num w:numId="27" w16cid:durableId="159203868">
    <w:abstractNumId w:val="3"/>
  </w:num>
  <w:num w:numId="28" w16cid:durableId="1647734136">
    <w:abstractNumId w:val="2"/>
  </w:num>
  <w:num w:numId="29" w16cid:durableId="4669566">
    <w:abstractNumId w:val="1"/>
  </w:num>
  <w:num w:numId="30" w16cid:durableId="1201237576">
    <w:abstractNumId w:val="0"/>
  </w:num>
  <w:num w:numId="31" w16cid:durableId="2129424953">
    <w:abstractNumId w:val="9"/>
  </w:num>
  <w:num w:numId="32" w16cid:durableId="1344016092">
    <w:abstractNumId w:val="7"/>
  </w:num>
  <w:num w:numId="33" w16cid:durableId="259947097">
    <w:abstractNumId w:val="6"/>
  </w:num>
  <w:num w:numId="34" w16cid:durableId="2011331396">
    <w:abstractNumId w:val="5"/>
  </w:num>
  <w:num w:numId="35" w16cid:durableId="2110812644">
    <w:abstractNumId w:val="4"/>
  </w:num>
  <w:num w:numId="36" w16cid:durableId="260988033">
    <w:abstractNumId w:val="8"/>
  </w:num>
  <w:num w:numId="37" w16cid:durableId="1799840211">
    <w:abstractNumId w:val="3"/>
  </w:num>
  <w:num w:numId="38" w16cid:durableId="941761759">
    <w:abstractNumId w:val="2"/>
  </w:num>
  <w:num w:numId="39" w16cid:durableId="665745015">
    <w:abstractNumId w:val="1"/>
  </w:num>
  <w:num w:numId="40" w16cid:durableId="183714838">
    <w:abstractNumId w:val="0"/>
  </w:num>
  <w:num w:numId="41" w16cid:durableId="1910113124">
    <w:abstractNumId w:val="10"/>
  </w:num>
  <w:num w:numId="42" w16cid:durableId="440150529">
    <w:abstractNumId w:val="10"/>
  </w:num>
  <w:num w:numId="43" w16cid:durableId="1680885315">
    <w:abstractNumId w:val="10"/>
  </w:num>
  <w:num w:numId="44" w16cid:durableId="786117069">
    <w:abstractNumId w:val="12"/>
  </w:num>
  <w:num w:numId="45" w16cid:durableId="14667616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20/2025"/>
    <w:docVar w:name="dvlangue" w:val="SV"/>
    <w:docVar w:name="dvnumam" w:val="0"/>
    <w:docVar w:name="dvpe" w:val="774.316"/>
    <w:docVar w:name="dvrapporteur" w:val="Föredragande: "/>
    <w:docVar w:name="dvstar" w:val="***I"/>
    <w:docVar w:name="dvtitre" w:val="Europaparlamentets lagstiftningsresolution av den xx xx 2026 om förslaget till Europaparlamentets och rådets förordning om ändring av förordningarna (EU) nr 1308/2013, (EU) 2021/2115 och (EU) nr 251/2014 vad gäller vissa marknadsregler och sektorsspecifika stödåtgärder i vinsektorn och för aromatiserade vinprodukter(COM(2025)0137 – C10-0058/2025 – 2025/0071(COD))"/>
  </w:docVars>
  <w:rsids>
    <w:rsidRoot w:val="007916A2"/>
    <w:rsid w:val="00002272"/>
    <w:rsid w:val="00064002"/>
    <w:rsid w:val="000677B9"/>
    <w:rsid w:val="00081F63"/>
    <w:rsid w:val="000831BA"/>
    <w:rsid w:val="000A42CC"/>
    <w:rsid w:val="000C6298"/>
    <w:rsid w:val="000D6C8E"/>
    <w:rsid w:val="000E7DD9"/>
    <w:rsid w:val="0010095E"/>
    <w:rsid w:val="00125B37"/>
    <w:rsid w:val="00187494"/>
    <w:rsid w:val="001F32AE"/>
    <w:rsid w:val="00205264"/>
    <w:rsid w:val="002569EB"/>
    <w:rsid w:val="002767FF"/>
    <w:rsid w:val="002B18FE"/>
    <w:rsid w:val="002B5493"/>
    <w:rsid w:val="003007A6"/>
    <w:rsid w:val="00343214"/>
    <w:rsid w:val="00361C00"/>
    <w:rsid w:val="003620E9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3F13"/>
    <w:rsid w:val="00545827"/>
    <w:rsid w:val="00560270"/>
    <w:rsid w:val="005C2568"/>
    <w:rsid w:val="005F1B17"/>
    <w:rsid w:val="006037C0"/>
    <w:rsid w:val="006631B6"/>
    <w:rsid w:val="00680577"/>
    <w:rsid w:val="006C134B"/>
    <w:rsid w:val="006F74FA"/>
    <w:rsid w:val="00727307"/>
    <w:rsid w:val="00731ADD"/>
    <w:rsid w:val="00734777"/>
    <w:rsid w:val="007420F2"/>
    <w:rsid w:val="00747932"/>
    <w:rsid w:val="00751A4A"/>
    <w:rsid w:val="00753844"/>
    <w:rsid w:val="00756632"/>
    <w:rsid w:val="00762C74"/>
    <w:rsid w:val="00782E5A"/>
    <w:rsid w:val="00786EC0"/>
    <w:rsid w:val="007916A2"/>
    <w:rsid w:val="007D1690"/>
    <w:rsid w:val="007E22AD"/>
    <w:rsid w:val="00802FA0"/>
    <w:rsid w:val="00817416"/>
    <w:rsid w:val="00827FFE"/>
    <w:rsid w:val="00842779"/>
    <w:rsid w:val="00865F67"/>
    <w:rsid w:val="008719AD"/>
    <w:rsid w:val="00881A7B"/>
    <w:rsid w:val="008840E5"/>
    <w:rsid w:val="00887B3E"/>
    <w:rsid w:val="008B55F1"/>
    <w:rsid w:val="008C2AC6"/>
    <w:rsid w:val="008C4B66"/>
    <w:rsid w:val="008E7039"/>
    <w:rsid w:val="00901AF5"/>
    <w:rsid w:val="00930C23"/>
    <w:rsid w:val="0093193B"/>
    <w:rsid w:val="009509D8"/>
    <w:rsid w:val="00950B64"/>
    <w:rsid w:val="00981893"/>
    <w:rsid w:val="0099794D"/>
    <w:rsid w:val="009D1364"/>
    <w:rsid w:val="00A1687D"/>
    <w:rsid w:val="00A43E52"/>
    <w:rsid w:val="00A45234"/>
    <w:rsid w:val="00A4678D"/>
    <w:rsid w:val="00A759B2"/>
    <w:rsid w:val="00A778C7"/>
    <w:rsid w:val="00AB441E"/>
    <w:rsid w:val="00AB6293"/>
    <w:rsid w:val="00AD7073"/>
    <w:rsid w:val="00AE0928"/>
    <w:rsid w:val="00AE454B"/>
    <w:rsid w:val="00AF3B82"/>
    <w:rsid w:val="00B12E95"/>
    <w:rsid w:val="00B22876"/>
    <w:rsid w:val="00B4255A"/>
    <w:rsid w:val="00B558F0"/>
    <w:rsid w:val="00BD34CC"/>
    <w:rsid w:val="00BD48FE"/>
    <w:rsid w:val="00BD7BD8"/>
    <w:rsid w:val="00BE6ADC"/>
    <w:rsid w:val="00C05BFE"/>
    <w:rsid w:val="00C23CD4"/>
    <w:rsid w:val="00C61C0C"/>
    <w:rsid w:val="00C941CB"/>
    <w:rsid w:val="00CC2357"/>
    <w:rsid w:val="00CE46EC"/>
    <w:rsid w:val="00CF071A"/>
    <w:rsid w:val="00D058B8"/>
    <w:rsid w:val="00D25024"/>
    <w:rsid w:val="00D56C11"/>
    <w:rsid w:val="00D75312"/>
    <w:rsid w:val="00D834A0"/>
    <w:rsid w:val="00D872DF"/>
    <w:rsid w:val="00D91E21"/>
    <w:rsid w:val="00DA7FCD"/>
    <w:rsid w:val="00DB22CD"/>
    <w:rsid w:val="00DD0252"/>
    <w:rsid w:val="00E306E3"/>
    <w:rsid w:val="00E365E1"/>
    <w:rsid w:val="00E820A4"/>
    <w:rsid w:val="00EB006A"/>
    <w:rsid w:val="00EB4772"/>
    <w:rsid w:val="00ED169E"/>
    <w:rsid w:val="00ED4235"/>
    <w:rsid w:val="00EE636B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C3A163"/>
  <w15:chartTrackingRefBased/>
  <w15:docId w15:val="{CE406DAD-134B-4957-B747-85A7B466F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A759B2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A759B2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A759B2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A759B2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A759B2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A759B2"/>
    <w:rPr>
      <w:i/>
      <w:sz w:val="22"/>
      <w:lang w:val="sv-SE"/>
    </w:rPr>
  </w:style>
  <w:style w:type="character" w:customStyle="1" w:styleId="Heading7Char">
    <w:name w:val="Heading 7 Char"/>
    <w:basedOn w:val="DefaultParagraphFont"/>
    <w:link w:val="Heading7"/>
    <w:semiHidden/>
    <w:rsid w:val="00A759B2"/>
    <w:rPr>
      <w:rFonts w:ascii="Arial" w:hAnsi="Arial"/>
      <w:sz w:val="24"/>
      <w:lang w:val="sv-SE"/>
    </w:rPr>
  </w:style>
  <w:style w:type="character" w:customStyle="1" w:styleId="Heading8Char">
    <w:name w:val="Heading 8 Char"/>
    <w:basedOn w:val="DefaultParagraphFont"/>
    <w:link w:val="Heading8"/>
    <w:semiHidden/>
    <w:rsid w:val="00A759B2"/>
    <w:rPr>
      <w:rFonts w:ascii="Arial" w:hAnsi="Arial"/>
      <w:i/>
      <w:sz w:val="24"/>
      <w:lang w:val="sv-SE"/>
    </w:rPr>
  </w:style>
  <w:style w:type="character" w:customStyle="1" w:styleId="Heading9Char">
    <w:name w:val="Heading 9 Char"/>
    <w:basedOn w:val="DefaultParagraphFont"/>
    <w:link w:val="Heading9"/>
    <w:semiHidden/>
    <w:rsid w:val="00A759B2"/>
    <w:rPr>
      <w:rFonts w:ascii="Arial" w:hAnsi="Arial"/>
      <w:b/>
      <w:i/>
      <w:sz w:val="18"/>
      <w:lang w:val="sv-SE"/>
    </w:rPr>
  </w:style>
  <w:style w:type="paragraph" w:styleId="TOCHeading">
    <w:name w:val="TOC Heading"/>
    <w:basedOn w:val="Normal"/>
    <w:next w:val="Normal"/>
    <w:unhideWhenUsed/>
    <w:qFormat/>
    <w:rsid w:val="00A759B2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A759B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A759B2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A759B2"/>
    <w:pPr>
      <w:spacing w:after="120"/>
    </w:pPr>
  </w:style>
  <w:style w:type="paragraph" w:customStyle="1" w:styleId="PageHeading">
    <w:name w:val="PageHeading"/>
    <w:basedOn w:val="Normal"/>
    <w:rsid w:val="00A759B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A759B2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A759B2"/>
    <w:rPr>
      <w:b/>
      <w:sz w:val="24"/>
      <w:lang w:val="sv-SE"/>
    </w:rPr>
  </w:style>
  <w:style w:type="paragraph" w:customStyle="1" w:styleId="NormalBold12a">
    <w:name w:val="NormalBold12a"/>
    <w:basedOn w:val="Normal"/>
    <w:rsid w:val="00A759B2"/>
    <w:pPr>
      <w:spacing w:after="240"/>
    </w:pPr>
    <w:rPr>
      <w:b/>
    </w:rPr>
  </w:style>
  <w:style w:type="paragraph" w:customStyle="1" w:styleId="AmJustText">
    <w:name w:val="AmJustText"/>
    <w:basedOn w:val="Normal"/>
    <w:rsid w:val="00A759B2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A759B2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A759B2"/>
    <w:pPr>
      <w:spacing w:after="480"/>
      <w:ind w:left="1417"/>
    </w:pPr>
  </w:style>
  <w:style w:type="paragraph" w:customStyle="1" w:styleId="CoverNormal">
    <w:name w:val="CoverNormal"/>
    <w:basedOn w:val="Normal"/>
    <w:rsid w:val="00A759B2"/>
    <w:pPr>
      <w:ind w:left="1418"/>
    </w:pPr>
  </w:style>
  <w:style w:type="paragraph" w:customStyle="1" w:styleId="AmCrossRef">
    <w:name w:val="AmCrossRef"/>
    <w:basedOn w:val="Normal"/>
    <w:rsid w:val="00A759B2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759B2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759B2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A759B2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A759B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A759B2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A759B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759B2"/>
    <w:rPr>
      <w:sz w:val="24"/>
      <w:lang w:val="sv-SE"/>
    </w:rPr>
  </w:style>
  <w:style w:type="paragraph" w:customStyle="1" w:styleId="AmOrLang">
    <w:name w:val="AmOrLang"/>
    <w:basedOn w:val="Normal"/>
    <w:rsid w:val="00A759B2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A759B2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A759B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A759B2"/>
    <w:pPr>
      <w:spacing w:before="240"/>
    </w:pPr>
    <w:rPr>
      <w:b/>
    </w:rPr>
  </w:style>
  <w:style w:type="paragraph" w:customStyle="1" w:styleId="EPBody">
    <w:name w:val="EPBody"/>
    <w:basedOn w:val="Normal"/>
    <w:rsid w:val="00A759B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A759B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A759B2"/>
    <w:pPr>
      <w:spacing w:before="480" w:after="240"/>
    </w:pPr>
  </w:style>
  <w:style w:type="paragraph" w:customStyle="1" w:styleId="Lgendesigne">
    <w:name w:val="Légende signe"/>
    <w:basedOn w:val="Normal"/>
    <w:rsid w:val="00A759B2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A759B2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A759B2"/>
    <w:rPr>
      <w:sz w:val="18"/>
    </w:rPr>
  </w:style>
  <w:style w:type="character" w:customStyle="1" w:styleId="FooterChar">
    <w:name w:val="Footer Char"/>
    <w:basedOn w:val="DefaultParagraphFont"/>
    <w:link w:val="Footer"/>
    <w:rsid w:val="00A759B2"/>
    <w:rPr>
      <w:sz w:val="22"/>
    </w:rPr>
  </w:style>
  <w:style w:type="paragraph" w:styleId="Footer">
    <w:name w:val="footer"/>
    <w:link w:val="FooterChar"/>
    <w:unhideWhenUsed/>
    <w:rsid w:val="00A759B2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1">
    <w:name w:val="Footer Char1"/>
    <w:basedOn w:val="DefaultParagraphFont"/>
    <w:rsid w:val="00A759B2"/>
    <w:rPr>
      <w:sz w:val="24"/>
      <w:lang w:val="sv-SE"/>
    </w:rPr>
  </w:style>
  <w:style w:type="character" w:customStyle="1" w:styleId="Normal12Char">
    <w:name w:val="Normal12 Char"/>
    <w:basedOn w:val="DefaultParagraphFont"/>
    <w:link w:val="Normal12"/>
    <w:locked/>
    <w:rsid w:val="00A759B2"/>
    <w:rPr>
      <w:noProof/>
      <w:sz w:val="24"/>
    </w:rPr>
  </w:style>
  <w:style w:type="paragraph" w:customStyle="1" w:styleId="Normal12">
    <w:name w:val="Normal12"/>
    <w:basedOn w:val="Normal"/>
    <w:link w:val="Normal12Char"/>
    <w:rsid w:val="00A759B2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A759B2"/>
    <w:rPr>
      <w:sz w:val="24"/>
      <w:lang w:val="sv-SE"/>
    </w:rPr>
  </w:style>
  <w:style w:type="paragraph" w:customStyle="1" w:styleId="Normal6">
    <w:name w:val="Normal6"/>
    <w:basedOn w:val="Normal"/>
    <w:link w:val="Normal6Char"/>
    <w:rsid w:val="00A759B2"/>
    <w:pPr>
      <w:spacing w:after="120"/>
    </w:pPr>
  </w:style>
  <w:style w:type="paragraph" w:customStyle="1" w:styleId="Normal12Italic">
    <w:name w:val="Normal12Italic"/>
    <w:basedOn w:val="Normal12"/>
    <w:rsid w:val="00A759B2"/>
    <w:rPr>
      <w:i/>
    </w:rPr>
  </w:style>
  <w:style w:type="paragraph" w:customStyle="1" w:styleId="Footer2">
    <w:name w:val="Footer2"/>
    <w:basedOn w:val="Normal12"/>
    <w:rsid w:val="00A759B2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A759B2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A759B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A759B2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A759B2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A759B2"/>
    <w:pPr>
      <w:keepNext/>
      <w:spacing w:before="240" w:after="240"/>
      <w:jc w:val="center"/>
    </w:pPr>
    <w:rPr>
      <w:i/>
      <w:noProof/>
    </w:rPr>
  </w:style>
  <w:style w:type="paragraph" w:customStyle="1" w:styleId="CrossRef">
    <w:name w:val="CrossRef"/>
    <w:basedOn w:val="Normal"/>
    <w:rsid w:val="00A759B2"/>
    <w:pPr>
      <w:spacing w:before="240"/>
      <w:jc w:val="center"/>
    </w:pPr>
    <w:rPr>
      <w:i/>
    </w:rPr>
  </w:style>
  <w:style w:type="paragraph" w:styleId="NormalWeb">
    <w:name w:val="Normal (Web)"/>
    <w:basedOn w:val="Normal"/>
    <w:uiPriority w:val="99"/>
    <w:unhideWhenUsed/>
    <w:rsid w:val="00A759B2"/>
    <w:pPr>
      <w:widowControl/>
      <w:spacing w:before="100" w:beforeAutospacing="1" w:after="100" w:afterAutospacing="1"/>
    </w:pPr>
    <w:rPr>
      <w:szCs w:val="24"/>
    </w:rPr>
  </w:style>
  <w:style w:type="character" w:styleId="Hyperlink">
    <w:name w:val="Hyperlink"/>
    <w:basedOn w:val="DefaultParagraphFont"/>
    <w:uiPriority w:val="99"/>
    <w:unhideWhenUsed/>
    <w:rsid w:val="00A759B2"/>
    <w:rPr>
      <w:color w:val="0563C1"/>
      <w:u w:val="single"/>
    </w:rPr>
  </w:style>
  <w:style w:type="paragraph" w:styleId="BalloonText">
    <w:name w:val="Balloon Text"/>
    <w:basedOn w:val="Normal"/>
    <w:link w:val="BalloonTextChar"/>
    <w:unhideWhenUsed/>
    <w:rsid w:val="00A759B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759B2"/>
    <w:rPr>
      <w:rFonts w:ascii="Segoe UI" w:hAnsi="Segoe UI" w:cs="Segoe UI"/>
      <w:sz w:val="18"/>
      <w:szCs w:val="18"/>
      <w:lang w:val="sv-SE"/>
    </w:rPr>
  </w:style>
  <w:style w:type="character" w:styleId="CommentReference">
    <w:name w:val="annotation reference"/>
    <w:basedOn w:val="DefaultParagraphFont"/>
    <w:rsid w:val="00A759B2"/>
    <w:rPr>
      <w:sz w:val="16"/>
      <w:szCs w:val="16"/>
    </w:rPr>
  </w:style>
  <w:style w:type="paragraph" w:styleId="CommentText">
    <w:name w:val="annotation text"/>
    <w:basedOn w:val="Normal"/>
    <w:link w:val="CommentTextChar"/>
    <w:rsid w:val="00A759B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759B2"/>
    <w:rPr>
      <w:lang w:val="sv-S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A759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759B2"/>
    <w:rPr>
      <w:b/>
      <w:bCs/>
      <w:lang w:val="sv-SE"/>
    </w:rPr>
  </w:style>
  <w:style w:type="paragraph" w:customStyle="1" w:styleId="Point1">
    <w:name w:val="Point 1"/>
    <w:basedOn w:val="Normal"/>
    <w:rsid w:val="00A759B2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character" w:styleId="Emphasis">
    <w:name w:val="Emphasis"/>
    <w:basedOn w:val="DefaultParagraphFont"/>
    <w:uiPriority w:val="20"/>
    <w:qFormat/>
    <w:rsid w:val="00A759B2"/>
    <w:rPr>
      <w:i/>
      <w:iCs/>
    </w:rPr>
  </w:style>
  <w:style w:type="paragraph" w:styleId="Revision">
    <w:name w:val="Revision"/>
    <w:hidden/>
    <w:uiPriority w:val="99"/>
    <w:semiHidden/>
    <w:rsid w:val="00A759B2"/>
    <w:rPr>
      <w:sz w:val="24"/>
      <w:lang w:val="sv-SE"/>
    </w:rPr>
  </w:style>
  <w:style w:type="paragraph" w:customStyle="1" w:styleId="Normal12a">
    <w:name w:val="Normal12a"/>
    <w:basedOn w:val="Normal"/>
    <w:rsid w:val="00A759B2"/>
    <w:pPr>
      <w:spacing w:after="240"/>
    </w:pPr>
  </w:style>
  <w:style w:type="paragraph" w:customStyle="1" w:styleId="RollCallVotes">
    <w:name w:val="RollCallVotes"/>
    <w:basedOn w:val="Normal"/>
    <w:rsid w:val="00A759B2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A759B2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A759B2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A759B2"/>
    <w:pPr>
      <w:spacing w:before="120" w:after="120"/>
    </w:pPr>
    <w:rPr>
      <w:snapToGrid w:val="0"/>
      <w:sz w:val="16"/>
      <w:lang w:eastAsia="en-US"/>
    </w:rPr>
  </w:style>
  <w:style w:type="character" w:customStyle="1" w:styleId="Hyperlink1">
    <w:name w:val="Hyperlink1"/>
    <w:basedOn w:val="DefaultParagraphFont"/>
    <w:uiPriority w:val="99"/>
    <w:unhideWhenUsed/>
    <w:rsid w:val="00782E5A"/>
    <w:rPr>
      <w:color w:val="0563C1"/>
      <w:u w:val="single"/>
    </w:rPr>
  </w:style>
  <w:style w:type="character" w:customStyle="1" w:styleId="Hyperlink2">
    <w:name w:val="Hyperlink2"/>
    <w:basedOn w:val="DefaultParagraphFont"/>
    <w:uiPriority w:val="99"/>
    <w:unhideWhenUsed/>
    <w:rsid w:val="00782E5A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1A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6/471/oj" TargetMode="External"/><Relationship Id="rId2" Type="http://schemas.openxmlformats.org/officeDocument/2006/relationships/hyperlink" Target="http://data.europa.eu/eli/C/2025/4418/oj" TargetMode="External"/><Relationship Id="rId1" Type="http://schemas.openxmlformats.org/officeDocument/2006/relationships/hyperlink" Target="http://data.europa.eu/eli/C/2025/516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568</Words>
  <Characters>4022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ANDERSSON Terese</dc:creator>
  <cp:keywords/>
  <cp:lastModifiedBy>HODNE Catherine</cp:lastModifiedBy>
  <cp:revision>2</cp:revision>
  <cp:lastPrinted>2004-11-19T15:42:00Z</cp:lastPrinted>
  <dcterms:created xsi:type="dcterms:W3CDTF">2026-04-13T14:00:00Z</dcterms:created>
  <dcterms:modified xsi:type="dcterms:W3CDTF">2026-04-13T14:00:00Z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P10_TA(2026)0028_</vt:lpwstr>
  </property>
  <property fmtid="{D5CDD505-2E9C-101B-9397-08002B2CF9AE}" pid="4" name="&lt;Type&gt;">
    <vt:lpwstr>RR</vt:lpwstr>
  </property>
</Properties>
</file>