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47A7" w14:paraId="4E1878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E4B3A8" w14:textId="623BBA61" w:rsidR="00751A4A" w:rsidRPr="008747A7" w:rsidRDefault="0027042D" w:rsidP="0010095E">
            <w:pPr>
              <w:pStyle w:val="EPName"/>
            </w:pPr>
            <w:r w:rsidRPr="008747A7">
              <w:t>Европейски</w:t>
            </w:r>
            <w:r w:rsidR="002434A3" w:rsidRPr="008747A7">
              <w:t xml:space="preserve"> парламент</w:t>
            </w:r>
          </w:p>
          <w:p w14:paraId="20CD0854" w14:textId="2DA561BD" w:rsidR="00751A4A" w:rsidRPr="008747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47A7">
              <w:t>2024</w:t>
            </w:r>
            <w:r w:rsidR="0027042D">
              <w:t> – </w:t>
            </w:r>
            <w:r w:rsidR="00817416" w:rsidRPr="008747A7">
              <w:t>202</w:t>
            </w:r>
            <w:r w:rsidRPr="008747A7">
              <w:t>9</w:t>
            </w:r>
          </w:p>
        </w:tc>
        <w:tc>
          <w:tcPr>
            <w:tcW w:w="2268" w:type="dxa"/>
            <w:shd w:val="clear" w:color="auto" w:fill="auto"/>
          </w:tcPr>
          <w:p w14:paraId="74C53F40" w14:textId="77777777" w:rsidR="00751A4A" w:rsidRPr="008747A7" w:rsidRDefault="00187494" w:rsidP="0010095E">
            <w:pPr>
              <w:pStyle w:val="EPLogo"/>
            </w:pPr>
            <w:r w:rsidRPr="008747A7">
              <w:rPr>
                <w:noProof/>
                <w:lang w:eastAsia="ja-JP"/>
              </w:rPr>
              <w:drawing>
                <wp:inline distT="0" distB="0" distL="0" distR="0" wp14:anchorId="4254BA0F" wp14:editId="4772BB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C28A07" w14:textId="77777777" w:rsidR="00D058B8" w:rsidRPr="008747A7" w:rsidRDefault="00D058B8" w:rsidP="004C5D52">
      <w:pPr>
        <w:pStyle w:val="LineTop"/>
      </w:pPr>
    </w:p>
    <w:p w14:paraId="1135F953" w14:textId="77777777" w:rsidR="00680577" w:rsidRPr="008747A7" w:rsidRDefault="002434A3" w:rsidP="00680577">
      <w:pPr>
        <w:pStyle w:val="EPBodyTA1"/>
      </w:pPr>
      <w:r w:rsidRPr="008747A7">
        <w:t>ПРИЕТИ ТЕКСТОВЕ</w:t>
      </w:r>
    </w:p>
    <w:p w14:paraId="5EAAA344" w14:textId="77777777" w:rsidR="00D058B8" w:rsidRPr="008747A7" w:rsidRDefault="00D058B8" w:rsidP="00D058B8">
      <w:pPr>
        <w:pStyle w:val="LineBottom"/>
      </w:pPr>
    </w:p>
    <w:p w14:paraId="534657CC" w14:textId="66FCC9B6" w:rsidR="002434A3" w:rsidRPr="008747A7" w:rsidRDefault="002434A3" w:rsidP="002434A3">
      <w:pPr>
        <w:pStyle w:val="ATHeading1"/>
      </w:pPr>
      <w:bookmarkStart w:id="0" w:name="TANumber"/>
      <w:r w:rsidRPr="008747A7">
        <w:t>P10_TA(2026)00</w:t>
      </w:r>
      <w:r w:rsidR="004E23AE">
        <w:t>29</w:t>
      </w:r>
      <w:bookmarkEnd w:id="0"/>
    </w:p>
    <w:p w14:paraId="4CA2FCC2" w14:textId="77777777" w:rsidR="002434A3" w:rsidRPr="008747A7" w:rsidRDefault="002434A3" w:rsidP="002434A3">
      <w:pPr>
        <w:pStyle w:val="ATHeading2"/>
      </w:pPr>
      <w:bookmarkStart w:id="1" w:name="title"/>
      <w:r w:rsidRPr="008747A7">
        <w:t>Изменение на Директивата относно средствата за измерване</w:t>
      </w:r>
      <w:bookmarkEnd w:id="1"/>
    </w:p>
    <w:p w14:paraId="23C77B8A" w14:textId="77777777" w:rsidR="002434A3" w:rsidRPr="008747A7" w:rsidRDefault="002434A3" w:rsidP="002434A3">
      <w:pPr>
        <w:rPr>
          <w:i/>
          <w:vanish/>
        </w:rPr>
      </w:pPr>
      <w:r w:rsidRPr="008747A7">
        <w:rPr>
          <w:i/>
        </w:rPr>
        <w:fldChar w:fldCharType="begin"/>
      </w:r>
      <w:r w:rsidRPr="008747A7">
        <w:rPr>
          <w:i/>
        </w:rPr>
        <w:instrText xml:space="preserve"> TC"(</w:instrText>
      </w:r>
      <w:bookmarkStart w:id="2" w:name="DocNumber"/>
      <w:r w:rsidRPr="008747A7">
        <w:rPr>
          <w:i/>
        </w:rPr>
        <w:instrText>A10-0173/2025</w:instrText>
      </w:r>
      <w:bookmarkEnd w:id="2"/>
      <w:r w:rsidRPr="008747A7">
        <w:rPr>
          <w:i/>
        </w:rPr>
        <w:instrText xml:space="preserve"> - Докладчик: Зала Томашич)"\l3 \n&gt; \* MERGEFORMAT </w:instrText>
      </w:r>
      <w:r w:rsidRPr="008747A7">
        <w:rPr>
          <w:i/>
        </w:rPr>
        <w:fldChar w:fldCharType="end"/>
      </w:r>
    </w:p>
    <w:p w14:paraId="36DB278A" w14:textId="77777777" w:rsidR="002434A3" w:rsidRPr="008747A7" w:rsidRDefault="002434A3" w:rsidP="002434A3">
      <w:pPr>
        <w:rPr>
          <w:vanish/>
        </w:rPr>
      </w:pPr>
      <w:bookmarkStart w:id="3" w:name="Commission"/>
      <w:r w:rsidRPr="008747A7">
        <w:rPr>
          <w:vanish/>
        </w:rPr>
        <w:t>Комисия по вътрешния пазар и защита на потребителите</w:t>
      </w:r>
      <w:bookmarkEnd w:id="3"/>
    </w:p>
    <w:p w14:paraId="10889AC6" w14:textId="77777777" w:rsidR="002434A3" w:rsidRPr="008747A7" w:rsidRDefault="002434A3" w:rsidP="002434A3">
      <w:pPr>
        <w:rPr>
          <w:vanish/>
        </w:rPr>
      </w:pPr>
      <w:bookmarkStart w:id="4" w:name="PE"/>
      <w:r w:rsidRPr="008747A7">
        <w:rPr>
          <w:vanish/>
        </w:rPr>
        <w:t>PE773.060</w:t>
      </w:r>
      <w:bookmarkEnd w:id="4"/>
    </w:p>
    <w:p w14:paraId="63A655E6" w14:textId="41EC6FED" w:rsidR="002434A3" w:rsidRPr="008747A7" w:rsidRDefault="002434A3" w:rsidP="002434A3">
      <w:pPr>
        <w:pStyle w:val="ATHeading3"/>
      </w:pPr>
      <w:bookmarkStart w:id="5" w:name="Sujet"/>
      <w:r w:rsidRPr="008747A7">
        <w:t xml:space="preserve">Законодателна резолюция на Европейския парламент от </w:t>
      </w:r>
      <w:r w:rsidR="007D1556">
        <w:t>10</w:t>
      </w:r>
      <w:r w:rsidR="0027042D">
        <w:t xml:space="preserve"> февруари</w:t>
      </w:r>
      <w:r w:rsidR="0027042D" w:rsidRPr="008747A7">
        <w:t xml:space="preserve"> </w:t>
      </w:r>
      <w:r w:rsidRPr="008747A7">
        <w:t>2026 г. относно предложението за директива на Европейския парламент и на Съвета за изменение на Директива 2014/32/ЕС по отношение на оборудването за захранване на електрически превозни средства, колонките за сгъстен газ, електромерите, разходомерите за газ и средствата за измерване на термална енергия</w:t>
      </w:r>
      <w:bookmarkEnd w:id="5"/>
      <w:r w:rsidRPr="008747A7">
        <w:t xml:space="preserve"> </w:t>
      </w:r>
      <w:bookmarkStart w:id="6" w:name="References"/>
      <w:r w:rsidRPr="008747A7">
        <w:t>(COM(2024)0561 – C10-0205/2024 – 2024/0311(COD))</w:t>
      </w:r>
      <w:bookmarkEnd w:id="6"/>
    </w:p>
    <w:p w14:paraId="1CEBB8E1" w14:textId="77777777" w:rsidR="00F3202F" w:rsidRPr="008747A7" w:rsidRDefault="00F3202F" w:rsidP="00F3202F">
      <w:pPr>
        <w:pStyle w:val="NormalBold"/>
      </w:pPr>
      <w:r w:rsidRPr="008747A7">
        <w:t>(Обикновена законодателна процедура: първо четене)</w:t>
      </w:r>
    </w:p>
    <w:p w14:paraId="1A2053ED" w14:textId="77777777" w:rsidR="00F3202F" w:rsidRPr="008747A7" w:rsidRDefault="00F3202F" w:rsidP="00F3202F">
      <w:pPr>
        <w:pStyle w:val="EPComma"/>
      </w:pPr>
      <w:r w:rsidRPr="008747A7">
        <w:rPr>
          <w:i/>
        </w:rPr>
        <w:t>Европейският парламент</w:t>
      </w:r>
      <w:r w:rsidRPr="008747A7">
        <w:t>,</w:t>
      </w:r>
    </w:p>
    <w:p w14:paraId="654069D0" w14:textId="6A641CD2" w:rsidR="00F3202F" w:rsidRPr="008747A7" w:rsidRDefault="00F3202F" w:rsidP="00F3202F">
      <w:pPr>
        <w:pStyle w:val="NormalHanging12a"/>
      </w:pPr>
      <w:r w:rsidRPr="008747A7">
        <w:t>–</w:t>
      </w:r>
      <w:r w:rsidRPr="008747A7">
        <w:tab/>
        <w:t xml:space="preserve">като взе предвид предложението на Комисията до </w:t>
      </w:r>
      <w:r w:rsidR="0027042D">
        <w:t>П</w:t>
      </w:r>
      <w:r w:rsidRPr="008747A7">
        <w:t>арламент</w:t>
      </w:r>
      <w:r w:rsidR="0027042D">
        <w:t>а</w:t>
      </w:r>
      <w:r w:rsidRPr="008747A7">
        <w:t xml:space="preserve"> и до Съвета (COM(2024)0561),</w:t>
      </w:r>
    </w:p>
    <w:p w14:paraId="73282BAC" w14:textId="1DB28F37" w:rsidR="00F3202F" w:rsidRPr="008747A7" w:rsidRDefault="00F3202F" w:rsidP="00F3202F">
      <w:pPr>
        <w:pStyle w:val="NormalHanging12a"/>
      </w:pPr>
      <w:r w:rsidRPr="008747A7">
        <w:t>–</w:t>
      </w:r>
      <w:r w:rsidRPr="008747A7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(C10</w:t>
      </w:r>
      <w:r w:rsidRPr="008747A7">
        <w:noBreakHyphen/>
        <w:t>0205/2024),</w:t>
      </w:r>
    </w:p>
    <w:p w14:paraId="672060E4" w14:textId="77777777" w:rsidR="00F3202F" w:rsidRPr="008747A7" w:rsidRDefault="00F3202F" w:rsidP="00F3202F">
      <w:pPr>
        <w:pStyle w:val="NormalHanging12a"/>
      </w:pPr>
      <w:r w:rsidRPr="008747A7">
        <w:t>–</w:t>
      </w:r>
      <w:r w:rsidRPr="008747A7">
        <w:tab/>
        <w:t>като взе предвид член 294, параграф 3 от Договора за функционирането на Европейския съюз,</w:t>
      </w:r>
    </w:p>
    <w:p w14:paraId="760FBAED" w14:textId="77777777" w:rsidR="00F3202F" w:rsidRDefault="00F3202F" w:rsidP="00F3202F">
      <w:pPr>
        <w:pStyle w:val="NormalHanging12a"/>
      </w:pPr>
      <w:r w:rsidRPr="008747A7">
        <w:t>–</w:t>
      </w:r>
      <w:r w:rsidRPr="008747A7">
        <w:tab/>
        <w:t>като взе предвид становището на Европейския икономически и социален комитет от 22 януари 2025 г.</w:t>
      </w:r>
      <w:r w:rsidRPr="008747A7">
        <w:rPr>
          <w:rStyle w:val="FootnoteReference"/>
        </w:rPr>
        <w:footnoteReference w:id="1"/>
      </w:r>
      <w:r w:rsidRPr="008747A7">
        <w:t>,</w:t>
      </w:r>
    </w:p>
    <w:p w14:paraId="71774922" w14:textId="0E10A7CC" w:rsidR="007B3372" w:rsidRPr="008747A7" w:rsidRDefault="007B3372" w:rsidP="00F3202F">
      <w:pPr>
        <w:pStyle w:val="NormalHanging12a"/>
      </w:pPr>
      <w:r>
        <w:t>–</w:t>
      </w:r>
      <w:r>
        <w:tab/>
      </w:r>
      <w:r w:rsidRPr="007B3372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 w:rsidR="007D1556">
        <w:t>26</w:t>
      </w:r>
      <w:r w:rsidRPr="007B3372">
        <w:t xml:space="preserve"> </w:t>
      </w:r>
      <w:r w:rsidR="007D1556">
        <w:t>ноември</w:t>
      </w:r>
      <w:r w:rsidRPr="007B3372">
        <w:t xml:space="preserve"> 202</w:t>
      </w:r>
      <w:r w:rsidR="007D1556">
        <w:t>5</w:t>
      </w:r>
      <w:r w:rsidRPr="007B3372"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548314F3" w14:textId="77777777" w:rsidR="00F3202F" w:rsidRPr="008747A7" w:rsidRDefault="00F3202F" w:rsidP="00F3202F">
      <w:pPr>
        <w:pStyle w:val="NormalHanging12a"/>
      </w:pPr>
      <w:r w:rsidRPr="008747A7">
        <w:t>–</w:t>
      </w:r>
      <w:r w:rsidRPr="008747A7">
        <w:tab/>
        <w:t>като взе предвид член 60 от своя Правилник за дейността,</w:t>
      </w:r>
    </w:p>
    <w:p w14:paraId="43C79C0C" w14:textId="77777777" w:rsidR="00F3202F" w:rsidRPr="008747A7" w:rsidRDefault="00F3202F" w:rsidP="00F3202F">
      <w:pPr>
        <w:pStyle w:val="NormalHanging12a"/>
      </w:pPr>
      <w:r w:rsidRPr="008747A7">
        <w:t>–</w:t>
      </w:r>
      <w:r w:rsidRPr="008747A7">
        <w:tab/>
        <w:t xml:space="preserve">като взе предвид доклада на комисията по вътрешния пазар и защита на </w:t>
      </w:r>
      <w:r w:rsidRPr="008747A7">
        <w:lastRenderedPageBreak/>
        <w:t>потребителите (A10-0173/2025),</w:t>
      </w:r>
    </w:p>
    <w:p w14:paraId="5BBA562B" w14:textId="77777777" w:rsidR="00F3202F" w:rsidRPr="008747A7" w:rsidRDefault="00F3202F" w:rsidP="00F3202F">
      <w:pPr>
        <w:pStyle w:val="NormalHanging12a"/>
      </w:pPr>
      <w:r w:rsidRPr="008747A7">
        <w:t>1.</w:t>
      </w:r>
      <w:r w:rsidRPr="008747A7">
        <w:tab/>
        <w:t>приема изложената по-долу позиция на първо четене;</w:t>
      </w:r>
    </w:p>
    <w:p w14:paraId="16889959" w14:textId="52A8FBF2" w:rsidR="00F3202F" w:rsidRPr="008747A7" w:rsidRDefault="00F3202F" w:rsidP="00F3202F">
      <w:pPr>
        <w:pStyle w:val="NormalHanging12a"/>
      </w:pPr>
      <w:r w:rsidRPr="008747A7">
        <w:t>2.</w:t>
      </w:r>
      <w:r w:rsidRPr="008747A7">
        <w:tab/>
        <w:t>приканва Комисията да се отнесе до него отново, в случай че замени своето предложение с друг текст</w:t>
      </w:r>
      <w:r w:rsidR="0027042D">
        <w:t>,</w:t>
      </w:r>
      <w:r w:rsidRPr="008747A7">
        <w:t xml:space="preserve"> внесе или възнамерява да внесе съществени промени в това предложение;</w:t>
      </w:r>
    </w:p>
    <w:p w14:paraId="116FAA20" w14:textId="77777777" w:rsidR="00F3202F" w:rsidRPr="008747A7" w:rsidRDefault="00F3202F" w:rsidP="00F3202F">
      <w:pPr>
        <w:pStyle w:val="NormalHanging12a"/>
      </w:pPr>
      <w:r w:rsidRPr="008747A7">
        <w:t>3.</w:t>
      </w:r>
      <w:r w:rsidRPr="008747A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6787C3D7" w14:textId="77777777" w:rsidR="0027042D" w:rsidRDefault="0027042D" w:rsidP="00F3202F">
      <w:pPr>
        <w:widowControl/>
      </w:pPr>
    </w:p>
    <w:p w14:paraId="286A0C4F" w14:textId="77777777" w:rsidR="0027042D" w:rsidRDefault="0027042D" w:rsidP="00F3202F">
      <w:pPr>
        <w:widowControl/>
        <w:sectPr w:rsidR="0027042D" w:rsidSect="008747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6B4D6F" w14:textId="77777777" w:rsidR="00965D4C" w:rsidRDefault="00965D4C" w:rsidP="00965D4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4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311</w:t>
      </w:r>
    </w:p>
    <w:p w14:paraId="6ABB841D" w14:textId="37D665EE" w:rsidR="00965D4C" w:rsidRDefault="00965D4C" w:rsidP="00965D4C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</w:t>
      </w:r>
      <w:r w:rsidRPr="00965D4C">
        <w:rPr>
          <w:b/>
          <w:szCs w:val="24"/>
        </w:rPr>
        <w:t xml:space="preserve">приета на първо четене на </w:t>
      </w:r>
      <w:r>
        <w:rPr>
          <w:b/>
          <w:szCs w:val="24"/>
        </w:rPr>
        <w:t>10 февруари</w:t>
      </w:r>
      <w:r w:rsidRPr="00965D4C">
        <w:rPr>
          <w:b/>
          <w:szCs w:val="24"/>
        </w:rPr>
        <w:t xml:space="preserve"> 2026 г. с оглед на приемането на Директива (ЕС) 2026/... на</w:t>
      </w:r>
      <w:r w:rsidRPr="00900F1D">
        <w:rPr>
          <w:b/>
          <w:szCs w:val="24"/>
        </w:rPr>
        <w:t xml:space="preserve"> Европейския парламент и на Съвета </w:t>
      </w:r>
      <w:r w:rsidRPr="00C01384">
        <w:rPr>
          <w:rFonts w:eastAsia="Calibri"/>
          <w:b/>
          <w:szCs w:val="22"/>
          <w:lang w:eastAsia="en-US"/>
        </w:rPr>
        <w:t>за изменение на Директива 2014/32/ЕС по отношение на измервателните системи за оборудване за захранване на електрически превозни средства</w:t>
      </w:r>
      <w:r w:rsidRPr="00C01384">
        <w:rPr>
          <w:rFonts w:eastAsia="Calibri"/>
          <w:b/>
          <w:szCs w:val="22"/>
          <w:lang w:val="ru-RU" w:eastAsia="en-US"/>
        </w:rPr>
        <w:t xml:space="preserve"> </w:t>
      </w:r>
      <w:r w:rsidRPr="00C01384">
        <w:rPr>
          <w:rFonts w:eastAsia="Calibri"/>
          <w:b/>
          <w:szCs w:val="22"/>
          <w:lang w:eastAsia="en-US"/>
        </w:rPr>
        <w:t xml:space="preserve">и за колонки за сгъстен газ и на електромерите, разходомерите за газ и средствата за измерване на термална енергия </w:t>
      </w:r>
    </w:p>
    <w:p w14:paraId="2EE4A171" w14:textId="73C0CF03" w:rsidR="00965D4C" w:rsidRDefault="002B7930" w:rsidP="002B7930">
      <w:pPr>
        <w:autoSpaceDE w:val="0"/>
        <w:autoSpaceDN w:val="0"/>
        <w:adjustRightInd w:val="0"/>
        <w:spacing w:after="24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</w:t>
      </w:r>
      <w:r w:rsidRPr="002B7930">
        <w:rPr>
          <w:i/>
          <w:szCs w:val="24"/>
        </w:rPr>
        <w:t>на окончателния законодателен акт, Директива</w:t>
      </w:r>
      <w:r w:rsidRPr="002B7930">
        <w:rPr>
          <w:i/>
          <w:szCs w:val="24"/>
          <w:lang w:val="lt-LT"/>
        </w:rPr>
        <w:t xml:space="preserve"> (ЕС) 2026/706.)</w:t>
      </w:r>
    </w:p>
    <w:sectPr w:rsidR="00965D4C" w:rsidSect="008747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C49C" w14:textId="77777777" w:rsidR="002434A3" w:rsidRPr="008747A7" w:rsidRDefault="002434A3">
      <w:r w:rsidRPr="008747A7">
        <w:separator/>
      </w:r>
    </w:p>
  </w:endnote>
  <w:endnote w:type="continuationSeparator" w:id="0">
    <w:p w14:paraId="28A10F07" w14:textId="77777777" w:rsidR="002434A3" w:rsidRPr="008747A7" w:rsidRDefault="002434A3">
      <w:r w:rsidRPr="008747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B75E" w14:textId="77777777" w:rsidR="00064002" w:rsidRPr="008747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FF65" w14:textId="77777777" w:rsidR="00064002" w:rsidRPr="008747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2489" w14:textId="77777777" w:rsidR="00064002" w:rsidRPr="008747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215D1" w14:textId="77777777" w:rsidR="002434A3" w:rsidRPr="008747A7" w:rsidRDefault="002434A3">
      <w:r w:rsidRPr="008747A7">
        <w:separator/>
      </w:r>
    </w:p>
  </w:footnote>
  <w:footnote w:type="continuationSeparator" w:id="0">
    <w:p w14:paraId="4EF6D8A9" w14:textId="77777777" w:rsidR="002434A3" w:rsidRPr="008747A7" w:rsidRDefault="002434A3">
      <w:r w:rsidRPr="008747A7">
        <w:continuationSeparator/>
      </w:r>
    </w:p>
  </w:footnote>
  <w:footnote w:id="1">
    <w:p w14:paraId="1A66FD83" w14:textId="212584DA" w:rsidR="00F3202F" w:rsidRPr="00965D4C" w:rsidRDefault="00F3202F" w:rsidP="00965D4C">
      <w:pPr>
        <w:pStyle w:val="FootnoteText"/>
        <w:ind w:left="567" w:hanging="567"/>
        <w:rPr>
          <w:sz w:val="24"/>
          <w:lang w:val="bg-BG"/>
        </w:rPr>
      </w:pPr>
      <w:r w:rsidRPr="00965D4C">
        <w:rPr>
          <w:rStyle w:val="FootnoteReference"/>
          <w:sz w:val="24"/>
          <w:lang w:val="bg-BG"/>
        </w:rPr>
        <w:footnoteRef/>
      </w:r>
      <w:r w:rsidR="008747A7" w:rsidRPr="00965D4C">
        <w:rPr>
          <w:sz w:val="24"/>
          <w:lang w:val="bg-BG"/>
        </w:rPr>
        <w:t xml:space="preserve"> </w:t>
      </w:r>
      <w:r w:rsidR="008747A7" w:rsidRPr="00965D4C">
        <w:rPr>
          <w:sz w:val="24"/>
          <w:lang w:val="bg-BG"/>
        </w:rPr>
        <w:tab/>
      </w:r>
      <w:r w:rsidRPr="00965D4C">
        <w:rPr>
          <w:sz w:val="24"/>
          <w:lang w:val="bg-BG"/>
        </w:rPr>
        <w:t xml:space="preserve">ОВ C, C/2025/1192, 21.3.2025 г., ELI: </w:t>
      </w:r>
      <w:hyperlink r:id="rId1" w:history="1">
        <w:r w:rsidRPr="00965D4C">
          <w:rPr>
            <w:rStyle w:val="Hyperlink"/>
            <w:sz w:val="24"/>
            <w:lang w:val="bg-BG"/>
          </w:rPr>
          <w:t>https://eur-lex.europa.eu/eli/C/2025/1192/oj</w:t>
        </w:r>
      </w:hyperlink>
      <w:r w:rsidRPr="00965D4C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40F3" w14:textId="77777777" w:rsidR="00064002" w:rsidRPr="008747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27AD" w14:textId="77777777" w:rsidR="00064002" w:rsidRPr="008747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7B4" w14:textId="77777777" w:rsidR="00064002" w:rsidRPr="008747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26232670">
    <w:abstractNumId w:val="0"/>
  </w:num>
  <w:num w:numId="2" w16cid:durableId="1688172093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BG"/>
    <w:docVar w:name="dvnumam" w:val="23"/>
    <w:docVar w:name="dvpe" w:val="773.060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директива на Европейския парламент и на Съвета за изменение на Директива 2014/32/ЕС по отношение на оборудването за захранване на електрически превозни средства, колонките за сгъстен газ, електромерите, разходомерите за газ и средствата за измерване на термална енергия(COM(2024)0561 – C10-0205/2024 – 2024/0311(COD))"/>
  </w:docVars>
  <w:rsids>
    <w:rsidRoot w:val="002434A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4A3"/>
    <w:rsid w:val="0027042D"/>
    <w:rsid w:val="002767FF"/>
    <w:rsid w:val="002B18FE"/>
    <w:rsid w:val="002B5493"/>
    <w:rsid w:val="002B79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3AE"/>
    <w:rsid w:val="0050519A"/>
    <w:rsid w:val="0050648B"/>
    <w:rsid w:val="005072A1"/>
    <w:rsid w:val="00514517"/>
    <w:rsid w:val="00536918"/>
    <w:rsid w:val="00545827"/>
    <w:rsid w:val="00560270"/>
    <w:rsid w:val="005A4079"/>
    <w:rsid w:val="005C2568"/>
    <w:rsid w:val="005F1B17"/>
    <w:rsid w:val="006037C0"/>
    <w:rsid w:val="006631B6"/>
    <w:rsid w:val="00680577"/>
    <w:rsid w:val="006F109B"/>
    <w:rsid w:val="006F74FA"/>
    <w:rsid w:val="00717B2C"/>
    <w:rsid w:val="00731ADD"/>
    <w:rsid w:val="00734777"/>
    <w:rsid w:val="00747932"/>
    <w:rsid w:val="00751A4A"/>
    <w:rsid w:val="00756632"/>
    <w:rsid w:val="00762C74"/>
    <w:rsid w:val="00786EC0"/>
    <w:rsid w:val="007B3372"/>
    <w:rsid w:val="007D1556"/>
    <w:rsid w:val="007D1690"/>
    <w:rsid w:val="007E22AD"/>
    <w:rsid w:val="00813986"/>
    <w:rsid w:val="00817416"/>
    <w:rsid w:val="00842779"/>
    <w:rsid w:val="00865F67"/>
    <w:rsid w:val="008747A7"/>
    <w:rsid w:val="00881A7B"/>
    <w:rsid w:val="008840E5"/>
    <w:rsid w:val="00887B3E"/>
    <w:rsid w:val="008C2AC6"/>
    <w:rsid w:val="00930C23"/>
    <w:rsid w:val="0093193B"/>
    <w:rsid w:val="009509D8"/>
    <w:rsid w:val="00950B64"/>
    <w:rsid w:val="00965D4C"/>
    <w:rsid w:val="00981893"/>
    <w:rsid w:val="009B63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965"/>
    <w:rsid w:val="00BD48FE"/>
    <w:rsid w:val="00BD7BD8"/>
    <w:rsid w:val="00BE6ADC"/>
    <w:rsid w:val="00C05BFE"/>
    <w:rsid w:val="00C23CD4"/>
    <w:rsid w:val="00C3395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02F"/>
    <w:rsid w:val="00F5134D"/>
    <w:rsid w:val="00F74202"/>
    <w:rsid w:val="00F87713"/>
    <w:rsid w:val="00F95C2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B5564"/>
  <w15:chartTrackingRefBased/>
  <w15:docId w15:val="{BD0E27D7-82F8-4229-81F2-EFC53B38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3202F"/>
    <w:rPr>
      <w:b/>
    </w:rPr>
  </w:style>
  <w:style w:type="paragraph" w:customStyle="1" w:styleId="NormalHanging12a">
    <w:name w:val="NormalHanging12a"/>
    <w:basedOn w:val="Normal"/>
    <w:rsid w:val="00F3202F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F3202F"/>
    <w:pPr>
      <w:spacing w:before="240"/>
    </w:pPr>
    <w:rPr>
      <w:b/>
    </w:rPr>
  </w:style>
  <w:style w:type="paragraph" w:customStyle="1" w:styleId="EPComma">
    <w:name w:val="EPComma"/>
    <w:basedOn w:val="Normal"/>
    <w:rsid w:val="00F3202F"/>
    <w:pPr>
      <w:spacing w:before="480" w:after="240"/>
    </w:pPr>
  </w:style>
  <w:style w:type="character" w:styleId="Hyperlink">
    <w:name w:val="Hyperlink"/>
    <w:basedOn w:val="DefaultParagraphFont"/>
    <w:unhideWhenUsed/>
    <w:rsid w:val="00F3202F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F3202F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F3202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3202F"/>
    <w:rPr>
      <w:b/>
      <w:sz w:val="24"/>
      <w:lang w:val="bg-BG"/>
    </w:rPr>
  </w:style>
  <w:style w:type="paragraph" w:customStyle="1" w:styleId="ColumnHeading">
    <w:name w:val="ColumnHeading"/>
    <w:basedOn w:val="Normal"/>
    <w:rsid w:val="00F3202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320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27042D"/>
    <w:rPr>
      <w:sz w:val="24"/>
      <w:lang w:val="bg-BG"/>
    </w:rPr>
  </w:style>
  <w:style w:type="paragraph" w:styleId="Header">
    <w:name w:val="header"/>
    <w:basedOn w:val="Normal"/>
    <w:link w:val="HeaderChar"/>
    <w:uiPriority w:val="99"/>
    <w:rsid w:val="00965D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D4C"/>
    <w:rPr>
      <w:sz w:val="24"/>
      <w:lang w:val="bg-BG"/>
    </w:rPr>
  </w:style>
  <w:style w:type="paragraph" w:customStyle="1" w:styleId="AmDocTypeTab">
    <w:name w:val="AmDocTypeTab"/>
    <w:basedOn w:val="Normal"/>
    <w:rsid w:val="00965D4C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965D4C"/>
    <w:pPr>
      <w:spacing w:after="240"/>
    </w:pPr>
  </w:style>
  <w:style w:type="paragraph" w:customStyle="1" w:styleId="EPFooter2">
    <w:name w:val="EPFooter2"/>
    <w:basedOn w:val="Normal"/>
    <w:next w:val="Normal"/>
    <w:rsid w:val="00965D4C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965D4C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965D4C"/>
    <w:pPr>
      <w:spacing w:after="240"/>
      <w:jc w:val="center"/>
    </w:pPr>
  </w:style>
  <w:style w:type="paragraph" w:customStyle="1" w:styleId="AmDateTab">
    <w:name w:val="AmDateTab"/>
    <w:basedOn w:val="Normal"/>
    <w:rsid w:val="00965D4C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965D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65D4C"/>
    <w:pPr>
      <w:spacing w:before="720" w:after="240"/>
      <w:jc w:val="center"/>
    </w:pPr>
  </w:style>
  <w:style w:type="paragraph" w:customStyle="1" w:styleId="EPFooter">
    <w:name w:val="EPFooter"/>
    <w:basedOn w:val="Normal"/>
    <w:rsid w:val="00965D4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965D4C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965D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D4C"/>
    <w:rPr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965D4C"/>
  </w:style>
  <w:style w:type="character" w:customStyle="1" w:styleId="Heading1Char">
    <w:name w:val="Heading 1 Char"/>
    <w:basedOn w:val="DefaultParagraphFont"/>
    <w:link w:val="Heading1"/>
    <w:uiPriority w:val="9"/>
    <w:rsid w:val="00965D4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65D4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D4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D4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D4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D4C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D4C"/>
    <w:rPr>
      <w:rFonts w:ascii="Arial" w:hAnsi="Arial"/>
      <w:sz w:val="24"/>
      <w:lang w:val="bg-BG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65D4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65D4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65D4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65D4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65D4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65D4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65D4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65D4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65D4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65D4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65D4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65D4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65D4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65D4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65D4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65D4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65D4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65D4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65D4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65D4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65D4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65D4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65D4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65D4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65D4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65D4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65D4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65D4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65D4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65D4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65D4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65D4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65D4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65D4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65D4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65D4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65D4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65D4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65D4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65D4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65D4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65D4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65D4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65D4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65D4C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65D4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65D4C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65D4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65D4C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65D4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65D4C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65D4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65D4C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65D4C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65D4C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65D4C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65D4C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65D4C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65D4C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65D4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65D4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65D4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65D4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65D4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65D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65D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65D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65D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65D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65D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65D4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65D4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65D4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65D4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65D4C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65D4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65D4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65D4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65D4C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65D4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65D4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65D4C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65D4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65D4C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65D4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65D4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65D4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65D4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65D4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65D4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65D4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65D4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65D4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65D4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65D4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65D4C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65D4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65D4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65D4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65D4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65D4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65D4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65D4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65D4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65D4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65D4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65D4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65D4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65D4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65D4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65D4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65D4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65D4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65D4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65D4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65D4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65D4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65D4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65D4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65D4C"/>
    <w:pPr>
      <w:spacing w:before="240"/>
    </w:pPr>
  </w:style>
  <w:style w:type="paragraph" w:customStyle="1" w:styleId="Accordtitre">
    <w:name w:val="Accord titre"/>
    <w:basedOn w:val="Normal"/>
    <w:rsid w:val="00965D4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65D4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65D4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65D4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65D4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65D4C"/>
    <w:pPr>
      <w:spacing w:after="240"/>
    </w:pPr>
  </w:style>
  <w:style w:type="paragraph" w:customStyle="1" w:styleId="Annexetitre">
    <w:name w:val="Annexe titre"/>
    <w:basedOn w:val="Normal"/>
    <w:next w:val="Normal"/>
    <w:rsid w:val="00965D4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65D4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65D4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65D4C"/>
  </w:style>
  <w:style w:type="character" w:styleId="EndnoteReference">
    <w:name w:val="endnote reference"/>
    <w:basedOn w:val="DefaultParagraphFont"/>
    <w:uiPriority w:val="99"/>
    <w:unhideWhenUsed/>
    <w:rsid w:val="00965D4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65D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65D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65D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65D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65D4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65D4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65D4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65D4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65D4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65D4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65D4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65D4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65D4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65D4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65D4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65D4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65D4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65D4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65D4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65D4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65D4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65D4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65D4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65D4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65D4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65D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65D4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965D4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65D4C"/>
    <w:pPr>
      <w:pBdr>
        <w:top w:val="none" w:sz="0" w:space="0" w:color="auto"/>
        <w:left w:val="single" w:sz="4" w:space="20" w:color="auto"/>
      </w:pBdr>
    </w:p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65D4C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65D4C"/>
  </w:style>
  <w:style w:type="character" w:styleId="CommentReference">
    <w:name w:val="annotation reference"/>
    <w:basedOn w:val="DefaultParagraphFont"/>
    <w:uiPriority w:val="99"/>
    <w:unhideWhenUsed/>
    <w:rsid w:val="00965D4C"/>
    <w:rPr>
      <w:sz w:val="16"/>
      <w:szCs w:val="16"/>
    </w:rPr>
  </w:style>
  <w:style w:type="paragraph" w:customStyle="1" w:styleId="Revision1">
    <w:name w:val="Revision1"/>
    <w:next w:val="Revision"/>
    <w:hidden/>
    <w:uiPriority w:val="99"/>
    <w:semiHidden/>
    <w:rsid w:val="00965D4C"/>
    <w:rPr>
      <w:rFonts w:eastAsia="Calibri"/>
      <w:sz w:val="24"/>
      <w:szCs w:val="22"/>
      <w:lang w:val="bg-BG" w:eastAsia="en-US"/>
    </w:rPr>
  </w:style>
  <w:style w:type="character" w:customStyle="1" w:styleId="Hyperlink1">
    <w:name w:val="Hyperlink1"/>
    <w:basedOn w:val="DefaultParagraphFont"/>
    <w:uiPriority w:val="99"/>
    <w:unhideWhenUsed/>
    <w:rsid w:val="00965D4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D4C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65D4C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65D4C"/>
    <w:rPr>
      <w:b/>
      <w:bCs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65D4C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965D4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65D4C"/>
    <w:rPr>
      <w:lang w:val="bg-BG"/>
    </w:rPr>
  </w:style>
  <w:style w:type="paragraph" w:styleId="CommentText">
    <w:name w:val="annotation text"/>
    <w:basedOn w:val="Normal"/>
    <w:link w:val="CommentTextChar1"/>
    <w:rsid w:val="00965D4C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965D4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65D4C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965D4C"/>
    <w:rPr>
      <w:b/>
      <w:bCs/>
      <w:lang w:val="bg-BG"/>
    </w:rPr>
  </w:style>
  <w:style w:type="character" w:styleId="FollowedHyperlink">
    <w:name w:val="FollowedHyperlink"/>
    <w:basedOn w:val="DefaultParagraphFont"/>
    <w:rsid w:val="00965D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2026-04-14T13:01:00Z</dcterms:created>
  <dcterms:modified xsi:type="dcterms:W3CDTF">2026-04-14T13:01:00Z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