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0C2F" w14:paraId="3661C96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3454F4" w14:textId="77777777" w:rsidR="00751A4A" w:rsidRPr="003E0C2F" w:rsidRDefault="00062F31" w:rsidP="0010095E">
            <w:pPr>
              <w:pStyle w:val="EPName"/>
            </w:pPr>
            <w:r w:rsidRPr="003E0C2F">
              <w:t>Europäisches Parlament</w:t>
            </w:r>
          </w:p>
          <w:p w14:paraId="67ABFF90" w14:textId="77777777" w:rsidR="00751A4A" w:rsidRPr="003E0C2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0C2F">
              <w:t>2024</w:t>
            </w:r>
            <w:r w:rsidR="00817416" w:rsidRPr="003E0C2F">
              <w:t>-202</w:t>
            </w:r>
            <w:r w:rsidRPr="003E0C2F">
              <w:t>9</w:t>
            </w:r>
          </w:p>
        </w:tc>
        <w:tc>
          <w:tcPr>
            <w:tcW w:w="2268" w:type="dxa"/>
            <w:shd w:val="clear" w:color="auto" w:fill="auto"/>
          </w:tcPr>
          <w:p w14:paraId="4C7818F2" w14:textId="77777777" w:rsidR="00751A4A" w:rsidRPr="003E0C2F" w:rsidRDefault="00187494" w:rsidP="0010095E">
            <w:pPr>
              <w:pStyle w:val="EPLogo"/>
            </w:pPr>
            <w:r w:rsidRPr="003E0C2F">
              <w:rPr>
                <w:noProof/>
                <w:lang w:eastAsia="ja-JP"/>
              </w:rPr>
              <w:drawing>
                <wp:inline distT="0" distB="0" distL="0" distR="0" wp14:anchorId="7AEF1F2C" wp14:editId="428BD8A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77D41F" w14:textId="77777777" w:rsidR="00D058B8" w:rsidRPr="003E0C2F" w:rsidRDefault="00D058B8" w:rsidP="004C5D52">
      <w:pPr>
        <w:pStyle w:val="LineTop"/>
      </w:pPr>
    </w:p>
    <w:p w14:paraId="70119E72" w14:textId="77777777" w:rsidR="00680577" w:rsidRPr="003E0C2F" w:rsidRDefault="00062F31" w:rsidP="00680577">
      <w:pPr>
        <w:pStyle w:val="EPBodyTA1"/>
      </w:pPr>
      <w:r w:rsidRPr="003E0C2F">
        <w:t>ANGENOMMENE TEXTE</w:t>
      </w:r>
    </w:p>
    <w:p w14:paraId="6EF87EE9" w14:textId="77777777" w:rsidR="00D058B8" w:rsidRPr="003E0C2F" w:rsidRDefault="00D058B8" w:rsidP="00D058B8">
      <w:pPr>
        <w:pStyle w:val="LineBottom"/>
      </w:pPr>
    </w:p>
    <w:p w14:paraId="4E29A874" w14:textId="593AEF12" w:rsidR="00062F31" w:rsidRPr="003E0C2F" w:rsidRDefault="00062F31" w:rsidP="00062F31">
      <w:pPr>
        <w:pStyle w:val="ATHeading1"/>
      </w:pPr>
      <w:bookmarkStart w:id="0" w:name="TANumber"/>
      <w:r w:rsidRPr="003E0C2F">
        <w:t>P10_</w:t>
      </w:r>
      <w:proofErr w:type="gramStart"/>
      <w:r w:rsidRPr="003E0C2F">
        <w:t>TA(</w:t>
      </w:r>
      <w:proofErr w:type="gramEnd"/>
      <w:r w:rsidRPr="003E0C2F">
        <w:t>2026)00</w:t>
      </w:r>
      <w:bookmarkEnd w:id="0"/>
      <w:r w:rsidR="00E457AA" w:rsidRPr="003E0C2F">
        <w:t>29</w:t>
      </w:r>
    </w:p>
    <w:p w14:paraId="2F305511" w14:textId="77777777" w:rsidR="00062F31" w:rsidRPr="003E0C2F" w:rsidRDefault="00062F31" w:rsidP="00062F31">
      <w:pPr>
        <w:pStyle w:val="ATHeading2"/>
      </w:pPr>
      <w:bookmarkStart w:id="1" w:name="title"/>
      <w:r w:rsidRPr="003E0C2F">
        <w:t>Änderung der Messgeräterichtlinie</w:t>
      </w:r>
      <w:bookmarkEnd w:id="1"/>
    </w:p>
    <w:p w14:paraId="6C3C285E" w14:textId="77777777" w:rsidR="00062F31" w:rsidRPr="003E0C2F" w:rsidRDefault="00062F31" w:rsidP="00062F31">
      <w:pPr>
        <w:rPr>
          <w:i/>
          <w:vanish/>
        </w:rPr>
      </w:pPr>
      <w:r w:rsidRPr="003E0C2F">
        <w:rPr>
          <w:i/>
        </w:rPr>
        <w:fldChar w:fldCharType="begin"/>
      </w:r>
      <w:r w:rsidRPr="003E0C2F">
        <w:rPr>
          <w:i/>
        </w:rPr>
        <w:instrText xml:space="preserve"> TC"(</w:instrText>
      </w:r>
      <w:bookmarkStart w:id="2" w:name="DocNumber"/>
      <w:r w:rsidRPr="003E0C2F">
        <w:rPr>
          <w:i/>
        </w:rPr>
        <w:instrText>A10-0173/2025</w:instrText>
      </w:r>
      <w:bookmarkEnd w:id="2"/>
      <w:r w:rsidRPr="003E0C2F">
        <w:rPr>
          <w:i/>
        </w:rPr>
        <w:instrText xml:space="preserve"> - Berichterstatterin: </w:instrText>
      </w:r>
      <w:proofErr w:type="spellStart"/>
      <w:r w:rsidRPr="003E0C2F">
        <w:rPr>
          <w:i/>
        </w:rPr>
        <w:instrText>Zala</w:instrText>
      </w:r>
      <w:proofErr w:type="spellEnd"/>
      <w:r w:rsidRPr="003E0C2F">
        <w:rPr>
          <w:i/>
        </w:rPr>
        <w:instrText xml:space="preserve"> </w:instrText>
      </w:r>
      <w:proofErr w:type="spellStart"/>
      <w:r w:rsidRPr="003E0C2F">
        <w:rPr>
          <w:i/>
        </w:rPr>
        <w:instrText>Tomašič</w:instrText>
      </w:r>
      <w:proofErr w:type="spellEnd"/>
      <w:r w:rsidRPr="003E0C2F">
        <w:rPr>
          <w:i/>
        </w:rPr>
        <w:instrText xml:space="preserve">)"\l3 \n&gt; \* MERGEFORMAT </w:instrText>
      </w:r>
      <w:r w:rsidRPr="003E0C2F">
        <w:rPr>
          <w:i/>
        </w:rPr>
        <w:fldChar w:fldCharType="end"/>
      </w:r>
    </w:p>
    <w:p w14:paraId="5AE58B05" w14:textId="77777777" w:rsidR="00062F31" w:rsidRPr="003E0C2F" w:rsidRDefault="00062F31" w:rsidP="00062F31">
      <w:pPr>
        <w:rPr>
          <w:vanish/>
        </w:rPr>
      </w:pPr>
      <w:bookmarkStart w:id="3" w:name="Commission"/>
      <w:r w:rsidRPr="003E0C2F">
        <w:rPr>
          <w:vanish/>
        </w:rPr>
        <w:t>Ausschuss für Binnenmarkt und Verbraucherschutz</w:t>
      </w:r>
      <w:bookmarkEnd w:id="3"/>
    </w:p>
    <w:p w14:paraId="331315CF" w14:textId="77777777" w:rsidR="00062F31" w:rsidRPr="003E0C2F" w:rsidRDefault="00062F31" w:rsidP="00062F31">
      <w:pPr>
        <w:rPr>
          <w:vanish/>
        </w:rPr>
      </w:pPr>
      <w:bookmarkStart w:id="4" w:name="PE"/>
      <w:r w:rsidRPr="003E0C2F">
        <w:rPr>
          <w:vanish/>
        </w:rPr>
        <w:t>PE773.060</w:t>
      </w:r>
      <w:bookmarkEnd w:id="4"/>
    </w:p>
    <w:p w14:paraId="7E387B9D" w14:textId="0CD52B56" w:rsidR="00062F31" w:rsidRPr="003E0C2F" w:rsidRDefault="00062F31" w:rsidP="00062F31">
      <w:pPr>
        <w:pStyle w:val="ATHeading3"/>
      </w:pPr>
      <w:bookmarkStart w:id="5" w:name="Sujet"/>
      <w:r w:rsidRPr="003E0C2F">
        <w:t xml:space="preserve">Legislative Entschließung des Europäischen Parlaments vom </w:t>
      </w:r>
      <w:r w:rsidR="00C461D6" w:rsidRPr="003E0C2F">
        <w:t>10</w:t>
      </w:r>
      <w:r w:rsidRPr="003E0C2F">
        <w:t xml:space="preserve">. Februar 2026 </w:t>
      </w:r>
      <w:r w:rsidR="007E7716" w:rsidRPr="003E0C2F">
        <w:t>zu dem</w:t>
      </w:r>
      <w:r w:rsidR="00D31F06" w:rsidRPr="003E0C2F">
        <w:t xml:space="preserve"> </w:t>
      </w:r>
      <w:r w:rsidRPr="003E0C2F">
        <w:t>Vorschlag für eine Richtlinie des Europäischen Parlaments und des Rates zur Änderung der Richtlinie 2014/32/EU im Hinblick auf Ladeausrüstung für Elektrofahrzeuge, Druckgas-Zapfsäulen, Strom- und Gaszähler sowie Messgeräte für thermische Energie</w:t>
      </w:r>
      <w:bookmarkEnd w:id="5"/>
      <w:r w:rsidRPr="003E0C2F">
        <w:t xml:space="preserve"> </w:t>
      </w:r>
      <w:bookmarkStart w:id="6" w:name="References"/>
      <w:r w:rsidRPr="003E0C2F">
        <w:t>(</w:t>
      </w:r>
      <w:proofErr w:type="gramStart"/>
      <w:r w:rsidRPr="003E0C2F">
        <w:t>COM(</w:t>
      </w:r>
      <w:proofErr w:type="gramEnd"/>
      <w:r w:rsidRPr="003E0C2F">
        <w:t>2024)0561 – C10-0205/2024 – 2024/0311(COD))</w:t>
      </w:r>
      <w:bookmarkEnd w:id="6"/>
    </w:p>
    <w:p w14:paraId="32DA51B2" w14:textId="77777777" w:rsidR="00AF16C3" w:rsidRPr="003E0C2F" w:rsidRDefault="00AF16C3" w:rsidP="00AF16C3">
      <w:pPr>
        <w:pStyle w:val="NormalBold"/>
      </w:pPr>
      <w:r w:rsidRPr="003E0C2F">
        <w:t>(Ordentliches Gesetzgebungsverfahren: erste Lesung)</w:t>
      </w:r>
    </w:p>
    <w:p w14:paraId="7C7CDFB8" w14:textId="77777777" w:rsidR="00AF16C3" w:rsidRPr="003E0C2F" w:rsidRDefault="00AF16C3" w:rsidP="00AF16C3">
      <w:pPr>
        <w:pStyle w:val="EPComma"/>
      </w:pPr>
      <w:r w:rsidRPr="003E0C2F">
        <w:rPr>
          <w:i/>
        </w:rPr>
        <w:t>Das Europäische Parlament</w:t>
      </w:r>
      <w:r w:rsidRPr="003E0C2F">
        <w:t>,</w:t>
      </w:r>
    </w:p>
    <w:p w14:paraId="5D9F8FAD" w14:textId="77777777" w:rsidR="00AF16C3" w:rsidRPr="003E0C2F" w:rsidRDefault="00AF16C3" w:rsidP="00AF16C3">
      <w:pPr>
        <w:pStyle w:val="NormalHanging12a"/>
      </w:pPr>
      <w:r w:rsidRPr="003E0C2F">
        <w:t>–</w:t>
      </w:r>
      <w:r w:rsidRPr="003E0C2F">
        <w:tab/>
        <w:t>unter Hinweis auf den Vorschlag der Kommission an das Europäische Parlament und den Rat (</w:t>
      </w:r>
      <w:proofErr w:type="gramStart"/>
      <w:r w:rsidRPr="003E0C2F">
        <w:t>COM(</w:t>
      </w:r>
      <w:proofErr w:type="gramEnd"/>
      <w:r w:rsidRPr="003E0C2F">
        <w:t>2024)0561),</w:t>
      </w:r>
    </w:p>
    <w:p w14:paraId="4D57C72C" w14:textId="77777777" w:rsidR="00AF16C3" w:rsidRPr="003E0C2F" w:rsidRDefault="00AF16C3" w:rsidP="00AF16C3">
      <w:pPr>
        <w:pStyle w:val="NormalHanging12a"/>
      </w:pPr>
      <w:r w:rsidRPr="003E0C2F">
        <w:t>–</w:t>
      </w:r>
      <w:r w:rsidRPr="003E0C2F">
        <w:tab/>
        <w:t>gestützt auf Artikel 294 Absatz 2 und Artikel 114 des Vertrags über die Arbeitsweise der Europäischen Union, auf deren Grundlage ihm der Vorschlag der Kommission unterbreitet wurde (C10-0205/2024),</w:t>
      </w:r>
    </w:p>
    <w:p w14:paraId="3B80CF55" w14:textId="77777777" w:rsidR="00AF16C3" w:rsidRPr="003E0C2F" w:rsidRDefault="00AF16C3" w:rsidP="00AF16C3">
      <w:pPr>
        <w:pStyle w:val="NormalHanging12a"/>
      </w:pPr>
      <w:r w:rsidRPr="003E0C2F">
        <w:t>–</w:t>
      </w:r>
      <w:r w:rsidRPr="003E0C2F">
        <w:tab/>
        <w:t>gestützt auf Artikel 294 Absatz 3 des Vertrags über die Arbeitsweise der Europäischen Union,</w:t>
      </w:r>
    </w:p>
    <w:p w14:paraId="7FADC088" w14:textId="77777777" w:rsidR="00AF16C3" w:rsidRPr="003E0C2F" w:rsidRDefault="00AF16C3" w:rsidP="00AF16C3">
      <w:pPr>
        <w:pStyle w:val="NormalHanging12a"/>
      </w:pPr>
      <w:r w:rsidRPr="003E0C2F">
        <w:t>–</w:t>
      </w:r>
      <w:r w:rsidRPr="003E0C2F">
        <w:tab/>
        <w:t>unter Hinweis auf die Stellungnahme des Europäischen Wirtschafts- und Sozialausschusses vom 22. Januar 2025</w:t>
      </w:r>
      <w:r w:rsidRPr="003E0C2F">
        <w:rPr>
          <w:rStyle w:val="FootnoteReference"/>
        </w:rPr>
        <w:footnoteReference w:id="1"/>
      </w:r>
      <w:r w:rsidRPr="003E0C2F">
        <w:t>,</w:t>
      </w:r>
    </w:p>
    <w:p w14:paraId="2889B2D0" w14:textId="34D86E7F" w:rsidR="007210F1" w:rsidRPr="003E0C2F" w:rsidRDefault="007210F1" w:rsidP="00AF16C3">
      <w:pPr>
        <w:pStyle w:val="NormalHanging12a"/>
      </w:pPr>
      <w:r w:rsidRPr="003E0C2F">
        <w:t>–</w:t>
      </w:r>
      <w:r w:rsidRPr="003E0C2F">
        <w:tab/>
        <w:t>unter Hinweis auf die vorläufige Einigung, die gemäß Artikel 75 Absatz 4 seiner Geschäftsordnung von de</w:t>
      </w:r>
      <w:r w:rsidR="00210178" w:rsidRPr="003E0C2F">
        <w:t>m</w:t>
      </w:r>
      <w:r w:rsidRPr="003E0C2F">
        <w:t xml:space="preserve"> zuständigen Aussch</w:t>
      </w:r>
      <w:r w:rsidR="00210178" w:rsidRPr="003E0C2F">
        <w:t>uss</w:t>
      </w:r>
      <w:r w:rsidRPr="003E0C2F">
        <w:t xml:space="preserve"> angenommen wurde, und auf die vom Vertreter des Rates mit Schreiben vo</w:t>
      </w:r>
      <w:r w:rsidR="007E7716" w:rsidRPr="003E0C2F">
        <w:t>m 26. November 2025</w:t>
      </w:r>
      <w:r w:rsidRPr="003E0C2F">
        <w:t xml:space="preserve"> gemachte Zusage, den Standpunkt des Europäischen Parlaments gemäß Artikel 294 Absatz 4 des Vertrags über die Arbeitsweise der Europäischen Union zu billigen</w:t>
      </w:r>
      <w:r w:rsidR="00182338" w:rsidRPr="003E0C2F">
        <w:t>,</w:t>
      </w:r>
    </w:p>
    <w:p w14:paraId="47C025CE" w14:textId="77777777" w:rsidR="00AF16C3" w:rsidRPr="003E0C2F" w:rsidRDefault="00AF16C3" w:rsidP="00AF16C3">
      <w:pPr>
        <w:pStyle w:val="NormalHanging12a"/>
      </w:pPr>
      <w:r w:rsidRPr="003E0C2F">
        <w:t>–</w:t>
      </w:r>
      <w:r w:rsidRPr="003E0C2F">
        <w:tab/>
        <w:t>gestützt auf Artikel 60 seiner Geschäftsordnung,</w:t>
      </w:r>
    </w:p>
    <w:p w14:paraId="3177282D" w14:textId="77777777" w:rsidR="00AF16C3" w:rsidRPr="003E0C2F" w:rsidRDefault="00AF16C3" w:rsidP="00AF16C3">
      <w:pPr>
        <w:pStyle w:val="NormalHanging12a"/>
      </w:pPr>
      <w:r w:rsidRPr="003E0C2F">
        <w:t>–</w:t>
      </w:r>
      <w:r w:rsidRPr="003E0C2F">
        <w:tab/>
        <w:t>unter Hinweis auf den Bericht des Ausschusses für Binnenmarkt und Verbraucherschutz (A10-0173/2025),</w:t>
      </w:r>
    </w:p>
    <w:p w14:paraId="434D261B" w14:textId="77777777" w:rsidR="00AF16C3" w:rsidRPr="003E0C2F" w:rsidRDefault="00AF16C3" w:rsidP="00AF16C3">
      <w:pPr>
        <w:pStyle w:val="NormalHanging12a"/>
      </w:pPr>
      <w:r w:rsidRPr="003E0C2F">
        <w:lastRenderedPageBreak/>
        <w:t>1.</w:t>
      </w:r>
      <w:r w:rsidRPr="003E0C2F">
        <w:tab/>
        <w:t>legt den folgenden Standpunkt in erster Lesung fest;</w:t>
      </w:r>
    </w:p>
    <w:p w14:paraId="01BBB8E6" w14:textId="77777777" w:rsidR="00AF16C3" w:rsidRPr="003E0C2F" w:rsidRDefault="00AF16C3" w:rsidP="00AF16C3">
      <w:pPr>
        <w:pStyle w:val="NormalHanging12a"/>
      </w:pPr>
      <w:r w:rsidRPr="003E0C2F">
        <w:t>2.</w:t>
      </w:r>
      <w:r w:rsidRPr="003E0C2F">
        <w:tab/>
        <w:t>fordert die Kommission auf, es erneut zu befassen, falls sie ihren Vorschlag ersetzt, entscheidend ändert oder beabsichtigt, ihn entscheidend zu ändern;</w:t>
      </w:r>
    </w:p>
    <w:p w14:paraId="223AB008" w14:textId="77777777" w:rsidR="009A0501" w:rsidRPr="003E0C2F" w:rsidRDefault="00AF16C3" w:rsidP="009A0501">
      <w:pPr>
        <w:pStyle w:val="NormalHanging12a"/>
        <w:sectPr w:rsidR="009A0501" w:rsidRPr="003E0C2F" w:rsidSect="00EA3D7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E0C2F">
        <w:t>3.</w:t>
      </w:r>
      <w:r w:rsidRPr="003E0C2F">
        <w:tab/>
        <w:t>beauftragt seine Präsidentin, den Standpunkt des Parlaments dem Rat und der Kommission sowie den nationalen Parlamenten zu übermitteln.</w:t>
      </w:r>
    </w:p>
    <w:p w14:paraId="3F768B46" w14:textId="04BF2F9D" w:rsidR="009A0501" w:rsidRPr="003E0C2F" w:rsidRDefault="009A0501" w:rsidP="009A0501">
      <w:pPr>
        <w:pStyle w:val="paragraph"/>
        <w:spacing w:before="240" w:beforeAutospacing="0" w:after="240" w:afterAutospacing="0"/>
        <w:ind w:right="555"/>
        <w:textAlignment w:val="baseline"/>
        <w:rPr>
          <w:lang w:val="de-DE"/>
        </w:rPr>
      </w:pPr>
      <w:r w:rsidRPr="003E0C2F">
        <w:rPr>
          <w:rStyle w:val="normaltextrun"/>
          <w:b/>
          <w:bCs/>
          <w:lang w:val="de-DE"/>
        </w:rPr>
        <w:lastRenderedPageBreak/>
        <w:t>P10_TC1-</w:t>
      </w:r>
      <w:proofErr w:type="gramStart"/>
      <w:r w:rsidRPr="003E0C2F">
        <w:rPr>
          <w:rStyle w:val="normaltextrun"/>
          <w:b/>
          <w:bCs/>
          <w:lang w:val="de-DE"/>
        </w:rPr>
        <w:t>COD(</w:t>
      </w:r>
      <w:proofErr w:type="gramEnd"/>
      <w:r w:rsidRPr="003E0C2F">
        <w:rPr>
          <w:rStyle w:val="normaltextrun"/>
          <w:b/>
          <w:bCs/>
          <w:lang w:val="de-DE"/>
        </w:rPr>
        <w:t>20</w:t>
      </w:r>
      <w:r w:rsidR="008D029A" w:rsidRPr="003E0C2F">
        <w:rPr>
          <w:rStyle w:val="normaltextrun"/>
          <w:b/>
          <w:bCs/>
          <w:lang w:val="de-DE"/>
        </w:rPr>
        <w:t>24</w:t>
      </w:r>
      <w:r w:rsidRPr="003E0C2F">
        <w:rPr>
          <w:rStyle w:val="normaltextrun"/>
          <w:b/>
          <w:bCs/>
          <w:lang w:val="de-DE"/>
        </w:rPr>
        <w:t>)0</w:t>
      </w:r>
      <w:r w:rsidR="008D029A" w:rsidRPr="003E0C2F">
        <w:rPr>
          <w:rStyle w:val="normaltextrun"/>
          <w:b/>
          <w:bCs/>
          <w:lang w:val="de-DE"/>
        </w:rPr>
        <w:t>311</w:t>
      </w:r>
    </w:p>
    <w:p w14:paraId="70C64321" w14:textId="77777777" w:rsidR="009A0501" w:rsidRDefault="009A0501" w:rsidP="009A0501">
      <w:pPr>
        <w:pStyle w:val="paragraph"/>
        <w:spacing w:before="0" w:after="0"/>
        <w:ind w:right="555"/>
        <w:textAlignment w:val="baseline"/>
        <w:rPr>
          <w:b/>
          <w:bCs/>
          <w:lang w:val="de-DE"/>
        </w:rPr>
      </w:pPr>
      <w:r w:rsidRPr="003E0C2F">
        <w:rPr>
          <w:rStyle w:val="normaltextrun"/>
          <w:b/>
          <w:bCs/>
          <w:lang w:val="de-DE"/>
        </w:rPr>
        <w:t xml:space="preserve">Standpunkt des Europäischen Parlaments festgelegt in erster Lesung am 10. Februar 2026 im Hinblick auf den Erlass der Richtlinie (EU) 2026/... des Europäischen Parlaments und des Rates </w:t>
      </w:r>
      <w:r w:rsidRPr="003E0C2F">
        <w:rPr>
          <w:b/>
          <w:bCs/>
          <w:lang w:val="de-DE"/>
        </w:rPr>
        <w:t xml:space="preserve">zur Änderung der Richtlinie 2014/32/EU im Hinblick auf Messanlagen für Ladeeinrichtungen für Elektrofahrzeuge und Druckgaszapfsäulen sowie Elektrizitäts- und Gaszähler und Messgeräte für thermische Energie </w:t>
      </w:r>
    </w:p>
    <w:p w14:paraId="2D142203" w14:textId="3DD1D41F" w:rsidR="00CB07C8" w:rsidRPr="0020057E" w:rsidRDefault="00CB07C8" w:rsidP="00CB07C8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>Einigung erzielt haben, entspricht der Standpunkt des Parlaments dem endgültigen Rechtsakt</w:t>
      </w:r>
      <w:r w:rsidRPr="00CB07C8">
        <w:rPr>
          <w:i/>
        </w:rPr>
        <w:t xml:space="preserve">, </w:t>
      </w:r>
      <w:r w:rsidRPr="00CB07C8">
        <w:rPr>
          <w:i/>
        </w:rPr>
        <w:t>Richtlinie</w:t>
      </w:r>
      <w:r w:rsidRPr="00CB07C8">
        <w:rPr>
          <w:i/>
        </w:rPr>
        <w:t xml:space="preserve"> (EU) 2026/706.) </w:t>
      </w:r>
    </w:p>
    <w:sectPr w:rsidR="00CB07C8" w:rsidRPr="0020057E" w:rsidSect="00CB07C8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72D96" w14:textId="77777777" w:rsidR="00062F31" w:rsidRPr="00EA3D72" w:rsidRDefault="00062F31">
      <w:r w:rsidRPr="00EA3D72">
        <w:separator/>
      </w:r>
    </w:p>
  </w:endnote>
  <w:endnote w:type="continuationSeparator" w:id="0">
    <w:p w14:paraId="5B594568" w14:textId="77777777" w:rsidR="00062F31" w:rsidRPr="00EA3D72" w:rsidRDefault="00062F31">
      <w:r w:rsidRPr="00EA3D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EE527" w14:textId="77777777" w:rsidR="00062F31" w:rsidRPr="00EA3D72" w:rsidRDefault="00062F31">
      <w:r w:rsidRPr="00EA3D72">
        <w:separator/>
      </w:r>
    </w:p>
  </w:footnote>
  <w:footnote w:type="continuationSeparator" w:id="0">
    <w:p w14:paraId="59A2468A" w14:textId="77777777" w:rsidR="00062F31" w:rsidRPr="00EA3D72" w:rsidRDefault="00062F31">
      <w:r w:rsidRPr="00EA3D72">
        <w:continuationSeparator/>
      </w:r>
    </w:p>
  </w:footnote>
  <w:footnote w:id="1">
    <w:p w14:paraId="1FE1C6B8" w14:textId="76A31F0A" w:rsidR="00AF16C3" w:rsidRPr="003E0C2F" w:rsidRDefault="00AF16C3" w:rsidP="00EA3D72">
      <w:pPr>
        <w:pStyle w:val="FootnoteText"/>
        <w:ind w:left="567" w:hanging="567"/>
        <w:rPr>
          <w:sz w:val="24"/>
          <w:lang w:val="fi-FI"/>
        </w:rPr>
      </w:pPr>
      <w:r w:rsidRPr="00EA3D72">
        <w:rPr>
          <w:rStyle w:val="FootnoteReference"/>
          <w:sz w:val="24"/>
          <w:lang w:val="de-DE"/>
        </w:rPr>
        <w:footnoteRef/>
      </w:r>
      <w:r w:rsidR="00EA3D72" w:rsidRPr="003E0C2F">
        <w:rPr>
          <w:sz w:val="24"/>
          <w:lang w:val="fi-FI"/>
        </w:rPr>
        <w:t xml:space="preserve"> </w:t>
      </w:r>
      <w:r w:rsidR="00EA3D72" w:rsidRPr="003E0C2F">
        <w:rPr>
          <w:sz w:val="24"/>
          <w:lang w:val="fi-FI"/>
        </w:rPr>
        <w:tab/>
      </w:r>
      <w:proofErr w:type="spellStart"/>
      <w:r w:rsidRPr="003E0C2F">
        <w:rPr>
          <w:sz w:val="24"/>
          <w:lang w:val="fi-FI"/>
        </w:rPr>
        <w:t>ABl.</w:t>
      </w:r>
      <w:proofErr w:type="spellEnd"/>
      <w:r w:rsidRPr="003E0C2F">
        <w:rPr>
          <w:sz w:val="24"/>
          <w:lang w:val="fi-FI"/>
        </w:rPr>
        <w:t xml:space="preserve"> C, C/2025/1192, 21.3.2025, ELI: </w:t>
      </w:r>
      <w:hyperlink r:id="rId1" w:history="1">
        <w:r w:rsidRPr="003E0C2F">
          <w:rPr>
            <w:rStyle w:val="Hyperlink"/>
            <w:sz w:val="24"/>
            <w:lang w:val="fi-FI"/>
          </w:rPr>
          <w:t>https://eur-lex.europa.eu/eli/C/2025/1192/oj</w:t>
        </w:r>
      </w:hyperlink>
      <w:r w:rsidRPr="003E0C2F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1E793AA3"/>
    <w:multiLevelType w:val="hybridMultilevel"/>
    <w:tmpl w:val="6A944D88"/>
    <w:lvl w:ilvl="0" w:tplc="DAF0A8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C060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91451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5106B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CCE79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6967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B126B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57A9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258F2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649288014">
    <w:abstractNumId w:val="0"/>
  </w:num>
  <w:num w:numId="2" w16cid:durableId="1594704427">
    <w:abstractNumId w:val="8"/>
  </w:num>
  <w:num w:numId="3" w16cid:durableId="460071770">
    <w:abstractNumId w:val="4"/>
  </w:num>
  <w:num w:numId="4" w16cid:durableId="1059862582">
    <w:abstractNumId w:val="12"/>
  </w:num>
  <w:num w:numId="5" w16cid:durableId="192768498">
    <w:abstractNumId w:val="15"/>
  </w:num>
  <w:num w:numId="6" w16cid:durableId="307787253">
    <w:abstractNumId w:val="14"/>
  </w:num>
  <w:num w:numId="7" w16cid:durableId="703754214">
    <w:abstractNumId w:val="22"/>
  </w:num>
  <w:num w:numId="8" w16cid:durableId="1792554488">
    <w:abstractNumId w:val="9"/>
  </w:num>
  <w:num w:numId="9" w16cid:durableId="1186288313">
    <w:abstractNumId w:val="10"/>
  </w:num>
  <w:num w:numId="10" w16cid:durableId="525561290">
    <w:abstractNumId w:val="11"/>
  </w:num>
  <w:num w:numId="11" w16cid:durableId="50227971">
    <w:abstractNumId w:val="13"/>
  </w:num>
  <w:num w:numId="12" w16cid:durableId="808940359">
    <w:abstractNumId w:val="5"/>
  </w:num>
  <w:num w:numId="13" w16cid:durableId="402334970">
    <w:abstractNumId w:val="23"/>
  </w:num>
  <w:num w:numId="14" w16cid:durableId="1387680788">
    <w:abstractNumId w:val="7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8"/>
  </w:num>
  <w:num w:numId="18" w16cid:durableId="1114177584">
    <w:abstractNumId w:val="17"/>
  </w:num>
  <w:num w:numId="19" w16cid:durableId="968052574">
    <w:abstractNumId w:val="16"/>
  </w:num>
  <w:num w:numId="20" w16cid:durableId="1579635249">
    <w:abstractNumId w:val="20"/>
  </w:num>
  <w:num w:numId="21" w16cid:durableId="328409989">
    <w:abstractNumId w:val="19"/>
  </w:num>
  <w:num w:numId="22" w16cid:durableId="1055085742">
    <w:abstractNumId w:val="21"/>
  </w:num>
  <w:num w:numId="23" w16cid:durableId="2024621968">
    <w:abstractNumId w:val="3"/>
  </w:num>
  <w:num w:numId="24" w16cid:durableId="1257324838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DE"/>
    <w:docVar w:name="dvnumam" w:val="0"/>
    <w:docVar w:name="dvpe" w:val="773.060"/>
    <w:docVar w:name="dvrapporteur" w:val="Berichterstatterin: "/>
    <w:docVar w:name="dvstar" w:val="***I"/>
    <w:docVar w:name="dvtitre" w:val="Legislative Entschließung des Europäischen Parlaments vom XX. Februar 2026 Vorschlag für eine Richtlinie des Europäischen Parlaments und des Rates zur Änderung der Richtlinie 2014/32/EU im Hinblick auf Ladeausrüstung für Elektrofahrzeuge, Druckgas-Zapfsäulen, Strom- und Gaszähler sowie Messgeräte für thermische Energie(COM(2024)0561 – C10-0205/2024 – 2024/0311(COD))"/>
  </w:docVars>
  <w:rsids>
    <w:rsidRoot w:val="00062F31"/>
    <w:rsid w:val="00002272"/>
    <w:rsid w:val="00062F31"/>
    <w:rsid w:val="00064002"/>
    <w:rsid w:val="000677B9"/>
    <w:rsid w:val="000831BA"/>
    <w:rsid w:val="000A42CC"/>
    <w:rsid w:val="000E7DD9"/>
    <w:rsid w:val="0010095E"/>
    <w:rsid w:val="0010412B"/>
    <w:rsid w:val="0011682A"/>
    <w:rsid w:val="00125B37"/>
    <w:rsid w:val="00182338"/>
    <w:rsid w:val="00187494"/>
    <w:rsid w:val="001F32AE"/>
    <w:rsid w:val="00210178"/>
    <w:rsid w:val="00212556"/>
    <w:rsid w:val="002767FF"/>
    <w:rsid w:val="002A578F"/>
    <w:rsid w:val="002B08E9"/>
    <w:rsid w:val="002B18FE"/>
    <w:rsid w:val="002B5493"/>
    <w:rsid w:val="00343214"/>
    <w:rsid w:val="00361C00"/>
    <w:rsid w:val="00395FA1"/>
    <w:rsid w:val="003A1175"/>
    <w:rsid w:val="003D4DB8"/>
    <w:rsid w:val="003E0C2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0A0"/>
    <w:rsid w:val="00545827"/>
    <w:rsid w:val="00560270"/>
    <w:rsid w:val="00577B18"/>
    <w:rsid w:val="005C2568"/>
    <w:rsid w:val="005F1B17"/>
    <w:rsid w:val="006019F2"/>
    <w:rsid w:val="006037C0"/>
    <w:rsid w:val="006631B6"/>
    <w:rsid w:val="00680577"/>
    <w:rsid w:val="006F74FA"/>
    <w:rsid w:val="007210F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716"/>
    <w:rsid w:val="00817416"/>
    <w:rsid w:val="00842779"/>
    <w:rsid w:val="00865F67"/>
    <w:rsid w:val="00881A7B"/>
    <w:rsid w:val="008840E5"/>
    <w:rsid w:val="00887B3E"/>
    <w:rsid w:val="008C2AC6"/>
    <w:rsid w:val="008D029A"/>
    <w:rsid w:val="00930C23"/>
    <w:rsid w:val="0093193B"/>
    <w:rsid w:val="009509D8"/>
    <w:rsid w:val="00950B64"/>
    <w:rsid w:val="00981893"/>
    <w:rsid w:val="009A0501"/>
    <w:rsid w:val="00A1687D"/>
    <w:rsid w:val="00A43E52"/>
    <w:rsid w:val="00A4678D"/>
    <w:rsid w:val="00A778C7"/>
    <w:rsid w:val="00AA07BC"/>
    <w:rsid w:val="00AB441E"/>
    <w:rsid w:val="00AB6293"/>
    <w:rsid w:val="00AE0733"/>
    <w:rsid w:val="00AE0928"/>
    <w:rsid w:val="00AF16C3"/>
    <w:rsid w:val="00AF3B82"/>
    <w:rsid w:val="00B12E95"/>
    <w:rsid w:val="00B22876"/>
    <w:rsid w:val="00B558F0"/>
    <w:rsid w:val="00B75C99"/>
    <w:rsid w:val="00BD48FE"/>
    <w:rsid w:val="00BD7BD8"/>
    <w:rsid w:val="00BE6ADC"/>
    <w:rsid w:val="00C05BFE"/>
    <w:rsid w:val="00C23CD4"/>
    <w:rsid w:val="00C461D6"/>
    <w:rsid w:val="00C61C0C"/>
    <w:rsid w:val="00C941CB"/>
    <w:rsid w:val="00CB07C8"/>
    <w:rsid w:val="00CC2357"/>
    <w:rsid w:val="00CE5169"/>
    <w:rsid w:val="00CF071A"/>
    <w:rsid w:val="00D058B8"/>
    <w:rsid w:val="00D31F06"/>
    <w:rsid w:val="00D56C11"/>
    <w:rsid w:val="00D834A0"/>
    <w:rsid w:val="00D872DF"/>
    <w:rsid w:val="00D91E21"/>
    <w:rsid w:val="00DA7FCD"/>
    <w:rsid w:val="00E365E1"/>
    <w:rsid w:val="00E457AA"/>
    <w:rsid w:val="00E820A4"/>
    <w:rsid w:val="00E94D5E"/>
    <w:rsid w:val="00EA3D72"/>
    <w:rsid w:val="00EB006A"/>
    <w:rsid w:val="00EB4772"/>
    <w:rsid w:val="00EC082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F5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2C011C"/>
  <w15:chartTrackingRefBased/>
  <w15:docId w15:val="{4AB6496F-EAC7-4572-8E17-210B04524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F16C3"/>
    <w:rPr>
      <w:b/>
    </w:rPr>
  </w:style>
  <w:style w:type="paragraph" w:customStyle="1" w:styleId="NormalHanging12a">
    <w:name w:val="NormalHanging12a"/>
    <w:basedOn w:val="Normal"/>
    <w:rsid w:val="00AF16C3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AF16C3"/>
    <w:pPr>
      <w:spacing w:before="240"/>
    </w:pPr>
    <w:rPr>
      <w:b/>
    </w:rPr>
  </w:style>
  <w:style w:type="paragraph" w:customStyle="1" w:styleId="EPComma">
    <w:name w:val="EPComma"/>
    <w:basedOn w:val="Normal"/>
    <w:rsid w:val="00AF16C3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AF16C3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AF16C3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AF16C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F16C3"/>
    <w:rPr>
      <w:b/>
      <w:sz w:val="24"/>
      <w:lang w:val="de-DE"/>
    </w:rPr>
  </w:style>
  <w:style w:type="paragraph" w:customStyle="1" w:styleId="ColumnHeading">
    <w:name w:val="ColumnHeading"/>
    <w:basedOn w:val="Normal"/>
    <w:rsid w:val="00AF16C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F16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D31F06"/>
    <w:rPr>
      <w:sz w:val="24"/>
      <w:lang w:val="de-DE"/>
    </w:rPr>
  </w:style>
  <w:style w:type="character" w:styleId="CommentReference">
    <w:name w:val="annotation reference"/>
    <w:basedOn w:val="DefaultParagraphFont"/>
    <w:uiPriority w:val="99"/>
    <w:rsid w:val="00D31F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31F0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1F06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D31F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31F06"/>
    <w:rPr>
      <w:b/>
      <w:bCs/>
      <w:lang w:val="de-DE"/>
    </w:rPr>
  </w:style>
  <w:style w:type="character" w:styleId="FollowedHyperlink">
    <w:name w:val="FollowedHyperlink"/>
    <w:basedOn w:val="DefaultParagraphFont"/>
    <w:uiPriority w:val="99"/>
    <w:rsid w:val="00D31F06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9A0501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normaltextrun">
    <w:name w:val="normaltextrun"/>
    <w:basedOn w:val="DefaultParagraphFont"/>
    <w:rsid w:val="009A0501"/>
  </w:style>
  <w:style w:type="character" w:customStyle="1" w:styleId="eop">
    <w:name w:val="eop"/>
    <w:basedOn w:val="DefaultParagraphFont"/>
    <w:rsid w:val="009A0501"/>
  </w:style>
  <w:style w:type="numbering" w:customStyle="1" w:styleId="NoList1">
    <w:name w:val="No List1"/>
    <w:next w:val="NoList"/>
    <w:uiPriority w:val="99"/>
    <w:semiHidden/>
    <w:unhideWhenUsed/>
    <w:rsid w:val="009A0501"/>
  </w:style>
  <w:style w:type="paragraph" w:styleId="Header">
    <w:name w:val="header"/>
    <w:basedOn w:val="Normal"/>
    <w:link w:val="HeaderChar"/>
    <w:uiPriority w:val="99"/>
    <w:unhideWhenUsed/>
    <w:rsid w:val="009A0501"/>
    <w:pPr>
      <w:widowControl/>
      <w:tabs>
        <w:tab w:val="right" w:pos="9638"/>
      </w:tabs>
      <w:spacing w:before="120" w:after="120" w:line="360" w:lineRule="auto"/>
    </w:pPr>
    <w:rPr>
      <w:rFonts w:eastAsia="Calibr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A0501"/>
    <w:rPr>
      <w:rFonts w:eastAsia="Calibri"/>
      <w:sz w:val="24"/>
      <w:szCs w:val="22"/>
      <w:lang w:val="de-DE" w:eastAsia="en-US"/>
    </w:rPr>
  </w:style>
  <w:style w:type="paragraph" w:styleId="Footer">
    <w:name w:val="footer"/>
    <w:basedOn w:val="Normal"/>
    <w:link w:val="FooterChar"/>
    <w:uiPriority w:val="99"/>
    <w:unhideWhenUsed/>
    <w:rsid w:val="009A0501"/>
    <w:pPr>
      <w:widowControl/>
      <w:tabs>
        <w:tab w:val="center" w:pos="4819"/>
        <w:tab w:val="center" w:pos="7370"/>
        <w:tab w:val="right" w:pos="9638"/>
      </w:tabs>
    </w:pPr>
    <w:rPr>
      <w:rFonts w:eastAsia="Calibr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A0501"/>
    <w:rPr>
      <w:rFonts w:eastAsia="Calibri"/>
      <w:sz w:val="24"/>
      <w:szCs w:val="22"/>
      <w:lang w:val="de-DE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A050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9A050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50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50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50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501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501"/>
    <w:rPr>
      <w:rFonts w:ascii="Arial" w:hAnsi="Arial"/>
      <w:sz w:val="24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9A0501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9A050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A050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A050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A050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A050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A050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A050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A050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A050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A050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A0501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9A050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9A0501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9A050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A050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A050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A050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A050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A050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A050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A050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A050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A050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A0501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A050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A0501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A050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A050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A050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A050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A050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A050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A050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A050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A050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A050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A050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A050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A050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A050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A050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A050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A050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A050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A050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A050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A050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A050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A050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A0501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A0501"/>
    <w:pPr>
      <w:widowControl/>
      <w:numPr>
        <w:numId w:val="4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A0501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A0501"/>
    <w:pPr>
      <w:widowControl/>
      <w:numPr>
        <w:numId w:val="6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A0501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A0501"/>
    <w:pPr>
      <w:widowControl/>
      <w:numPr>
        <w:numId w:val="8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A0501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A0501"/>
    <w:pPr>
      <w:widowControl/>
      <w:numPr>
        <w:numId w:val="10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A0501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A0501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A0501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A0501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A0501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A0501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A0501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A0501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A050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A050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A050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A050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A050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A050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A050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A050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A050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A050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A050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A050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A050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A050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A050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A050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A050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A050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A050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9A0501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A0501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A0501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A0501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A0501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A0501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A0501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A0501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A0501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A0501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A0501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A0501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A0501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A0501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A0501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A0501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A0501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A0501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A050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A050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A0501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A0501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A050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A0501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A0501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A0501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A0501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A050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A0501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9A050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A050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A0501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9A0501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A050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A050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A050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A050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A050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A050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A050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A050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A050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A050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A050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A050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A050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A0501"/>
    <w:pPr>
      <w:spacing w:before="240"/>
    </w:pPr>
  </w:style>
  <w:style w:type="paragraph" w:customStyle="1" w:styleId="Accordtitre">
    <w:name w:val="Accord titre"/>
    <w:basedOn w:val="Normal"/>
    <w:rsid w:val="009A050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A050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A050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A050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A050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A0501"/>
    <w:pPr>
      <w:spacing w:after="240"/>
    </w:pPr>
  </w:style>
  <w:style w:type="paragraph" w:customStyle="1" w:styleId="Annexetitre">
    <w:name w:val="Annexe titre"/>
    <w:basedOn w:val="Normal"/>
    <w:next w:val="Normal"/>
    <w:rsid w:val="009A050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A050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A0501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A0501"/>
    <w:rPr>
      <w:rFonts w:eastAsia="Calibri"/>
      <w:lang w:val="de-DE" w:eastAsia="en-US"/>
    </w:rPr>
  </w:style>
  <w:style w:type="character" w:styleId="EndnoteReference">
    <w:name w:val="endnote reference"/>
    <w:basedOn w:val="DefaultParagraphFont"/>
    <w:uiPriority w:val="99"/>
    <w:unhideWhenUsed/>
    <w:rsid w:val="009A0501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A050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A050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A050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A050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A050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A050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A050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A050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A050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A050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A050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A050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A050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A050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A050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A050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A050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A050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A050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A050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A050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A050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A050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A050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A050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A050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A050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9A050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A0501"/>
    <w:pPr>
      <w:pBdr>
        <w:top w:val="none" w:sz="0" w:space="0" w:color="auto"/>
        <w:left w:val="single" w:sz="4" w:space="20" w:color="auto"/>
      </w:pBdr>
    </w:pPr>
  </w:style>
  <w:style w:type="character" w:styleId="UnresolvedMention">
    <w:name w:val="Unresolved Mention"/>
    <w:basedOn w:val="DefaultParagraphFont"/>
    <w:uiPriority w:val="99"/>
    <w:semiHidden/>
    <w:unhideWhenUsed/>
    <w:rsid w:val="009A0501"/>
    <w:rPr>
      <w:color w:val="605E5C"/>
      <w:shd w:val="clear" w:color="auto" w:fill="E1DFDD"/>
    </w:rPr>
  </w:style>
  <w:style w:type="paragraph" w:customStyle="1" w:styleId="Normal12Hanging">
    <w:name w:val="Normal12Hanging"/>
    <w:basedOn w:val="Normal"/>
    <w:rsid w:val="00CB07C8"/>
    <w:pPr>
      <w:spacing w:after="240"/>
      <w:ind w:left="357" w:hanging="357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0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9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BM_DLA</dc:creator>
  <cp:keywords/>
  <cp:lastModifiedBy>Start-EP-EF</cp:lastModifiedBy>
  <cp:revision>2</cp:revision>
  <cp:lastPrinted>2004-11-19T15:42:00Z</cp:lastPrinted>
  <dcterms:created xsi:type="dcterms:W3CDTF">2026-04-14T13:51:00Z</dcterms:created>
  <dcterms:modified xsi:type="dcterms:W3CDTF">2026-04-14T13:51:00Z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