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5D68" w14:paraId="6898FEE9" w14:textId="77777777" w:rsidTr="0010095E">
        <w:trPr>
          <w:trHeight w:hRule="exact" w:val="1418"/>
        </w:trPr>
        <w:tc>
          <w:tcPr>
            <w:tcW w:w="6804" w:type="dxa"/>
            <w:shd w:val="clear" w:color="auto" w:fill="auto"/>
            <w:vAlign w:val="center"/>
          </w:tcPr>
          <w:p w14:paraId="36053294" w14:textId="77777777" w:rsidR="00751A4A" w:rsidRPr="00D55D68" w:rsidRDefault="00545D60" w:rsidP="0010095E">
            <w:pPr>
              <w:pStyle w:val="EPName"/>
            </w:pPr>
            <w:r w:rsidRPr="00D55D68">
              <w:t>Eiropas Parlaments</w:t>
            </w:r>
          </w:p>
          <w:p w14:paraId="007223AC" w14:textId="77777777" w:rsidR="00751A4A" w:rsidRPr="00D55D68" w:rsidRDefault="005F1B17" w:rsidP="005F1B17">
            <w:pPr>
              <w:pStyle w:val="EPTerm"/>
              <w:rPr>
                <w:rStyle w:val="HideTWBExt"/>
                <w:noProof w:val="0"/>
                <w:vanish w:val="0"/>
                <w:color w:val="auto"/>
              </w:rPr>
            </w:pPr>
            <w:r w:rsidRPr="00D55D68">
              <w:t>2024</w:t>
            </w:r>
            <w:r w:rsidR="00817416" w:rsidRPr="00D55D68">
              <w:t>-202</w:t>
            </w:r>
            <w:r w:rsidRPr="00D55D68">
              <w:t>9</w:t>
            </w:r>
          </w:p>
        </w:tc>
        <w:tc>
          <w:tcPr>
            <w:tcW w:w="2268" w:type="dxa"/>
            <w:shd w:val="clear" w:color="auto" w:fill="auto"/>
          </w:tcPr>
          <w:p w14:paraId="35CF3109" w14:textId="77777777" w:rsidR="00751A4A" w:rsidRPr="00D55D68" w:rsidRDefault="00187494" w:rsidP="0010095E">
            <w:pPr>
              <w:pStyle w:val="EPLogo"/>
            </w:pPr>
            <w:r w:rsidRPr="00D55D68">
              <w:rPr>
                <w:noProof/>
                <w:lang w:eastAsia="ja-JP"/>
              </w:rPr>
              <w:drawing>
                <wp:inline distT="0" distB="0" distL="0" distR="0" wp14:anchorId="52EEBB27" wp14:editId="2B8EAC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781160" w14:textId="77777777" w:rsidR="00D058B8" w:rsidRPr="00D55D68" w:rsidRDefault="00D058B8" w:rsidP="004C5D52">
      <w:pPr>
        <w:pStyle w:val="LineTop"/>
      </w:pPr>
    </w:p>
    <w:p w14:paraId="293F7CD3" w14:textId="77777777" w:rsidR="00680577" w:rsidRPr="00D55D68" w:rsidRDefault="00545D60" w:rsidP="00680577">
      <w:pPr>
        <w:pStyle w:val="EPBodyTA1"/>
      </w:pPr>
      <w:r w:rsidRPr="00D55D68">
        <w:t>PIEŅEMTIE TEKSTI</w:t>
      </w:r>
    </w:p>
    <w:p w14:paraId="03A4622E" w14:textId="77777777" w:rsidR="00D058B8" w:rsidRPr="00D55D68" w:rsidRDefault="00D058B8" w:rsidP="00D058B8">
      <w:pPr>
        <w:pStyle w:val="LineBottom"/>
      </w:pPr>
    </w:p>
    <w:p w14:paraId="545722AD" w14:textId="51EA04FD" w:rsidR="00545D60" w:rsidRPr="00D55D68" w:rsidRDefault="00545D60" w:rsidP="00545D60">
      <w:pPr>
        <w:pStyle w:val="ATHeading1"/>
      </w:pPr>
      <w:bookmarkStart w:id="0" w:name="TANumber"/>
      <w:r w:rsidRPr="00D55D68">
        <w:t>P10_TA(2026)</w:t>
      </w:r>
      <w:bookmarkEnd w:id="0"/>
      <w:r w:rsidR="00D55D68" w:rsidRPr="00D55D68">
        <w:t>0029</w:t>
      </w:r>
    </w:p>
    <w:p w14:paraId="2DDA27E2" w14:textId="565A4831" w:rsidR="00545D60" w:rsidRPr="00D55D68" w:rsidRDefault="00E22092" w:rsidP="00545D60">
      <w:pPr>
        <w:pStyle w:val="ATHeading2"/>
      </w:pPr>
      <w:r w:rsidRPr="00D55D68">
        <w:t>Grozījumi Mērinstrumentu direktīvā</w:t>
      </w:r>
    </w:p>
    <w:p w14:paraId="2538C532" w14:textId="3AFF80EE" w:rsidR="00545D60" w:rsidRPr="00D55D68" w:rsidRDefault="00545D60" w:rsidP="00545D60">
      <w:pPr>
        <w:rPr>
          <w:i/>
          <w:vanish/>
        </w:rPr>
      </w:pPr>
      <w:r w:rsidRPr="00D55D68">
        <w:rPr>
          <w:i/>
        </w:rPr>
        <w:fldChar w:fldCharType="begin"/>
      </w:r>
      <w:r w:rsidRPr="00D55D68">
        <w:rPr>
          <w:i/>
        </w:rPr>
        <w:instrText xml:space="preserve"> TC"(</w:instrText>
      </w:r>
      <w:bookmarkStart w:id="1" w:name="DocNumber"/>
      <w:r w:rsidRPr="00D55D68">
        <w:rPr>
          <w:i/>
        </w:rPr>
        <w:instrText>A10-0173/2025</w:instrText>
      </w:r>
      <w:bookmarkEnd w:id="1"/>
      <w:r w:rsidRPr="00D55D68">
        <w:rPr>
          <w:i/>
        </w:rPr>
        <w:instrText xml:space="preserve"> - Referent</w:instrText>
      </w:r>
      <w:r w:rsidR="00E22092" w:rsidRPr="00D55D68">
        <w:rPr>
          <w:i/>
        </w:rPr>
        <w:instrText>e</w:instrText>
      </w:r>
      <w:r w:rsidRPr="00D55D68">
        <w:rPr>
          <w:i/>
        </w:rPr>
        <w:instrText xml:space="preserve">: </w:instrText>
      </w:r>
      <w:proofErr w:type="spellStart"/>
      <w:r w:rsidRPr="00D55D68">
        <w:rPr>
          <w:i/>
        </w:rPr>
        <w:instrText>Zala</w:instrText>
      </w:r>
      <w:proofErr w:type="spellEnd"/>
      <w:r w:rsidRPr="00D55D68">
        <w:rPr>
          <w:i/>
        </w:rPr>
        <w:instrText xml:space="preserve"> </w:instrText>
      </w:r>
      <w:proofErr w:type="spellStart"/>
      <w:r w:rsidRPr="00D55D68">
        <w:rPr>
          <w:i/>
        </w:rPr>
        <w:instrText>Tomašič</w:instrText>
      </w:r>
      <w:proofErr w:type="spellEnd"/>
      <w:r w:rsidRPr="00D55D68">
        <w:rPr>
          <w:i/>
        </w:rPr>
        <w:instrText xml:space="preserve">)"\l3 \n&gt; \* MERGEFORMAT </w:instrText>
      </w:r>
      <w:r w:rsidRPr="00D55D68">
        <w:rPr>
          <w:i/>
        </w:rPr>
        <w:fldChar w:fldCharType="end"/>
      </w:r>
    </w:p>
    <w:p w14:paraId="0DF1DC92" w14:textId="77777777" w:rsidR="00545D60" w:rsidRPr="00D55D68" w:rsidRDefault="00545D60" w:rsidP="00545D60">
      <w:pPr>
        <w:rPr>
          <w:vanish/>
        </w:rPr>
      </w:pPr>
      <w:bookmarkStart w:id="2" w:name="Commission"/>
      <w:r w:rsidRPr="00D55D68">
        <w:rPr>
          <w:vanish/>
        </w:rPr>
        <w:t>Iekšējā tirgus un patērētāju aizsardzības komiteja</w:t>
      </w:r>
      <w:bookmarkEnd w:id="2"/>
    </w:p>
    <w:p w14:paraId="12A77282" w14:textId="77777777" w:rsidR="00545D60" w:rsidRPr="00D55D68" w:rsidRDefault="00545D60" w:rsidP="00545D60">
      <w:pPr>
        <w:rPr>
          <w:vanish/>
        </w:rPr>
      </w:pPr>
      <w:bookmarkStart w:id="3" w:name="PE"/>
      <w:r w:rsidRPr="00D55D68">
        <w:rPr>
          <w:vanish/>
        </w:rPr>
        <w:t>PE773.060</w:t>
      </w:r>
      <w:bookmarkEnd w:id="3"/>
    </w:p>
    <w:p w14:paraId="3CE091CF" w14:textId="40BA190A" w:rsidR="00545D60" w:rsidRPr="00D55D68" w:rsidRDefault="00545D60" w:rsidP="00545D60">
      <w:pPr>
        <w:pStyle w:val="ATHeading3"/>
      </w:pPr>
      <w:bookmarkStart w:id="4" w:name="Sujet"/>
      <w:r w:rsidRPr="00D55D68">
        <w:t xml:space="preserve">Eiropas Parlamenta 2026. gada </w:t>
      </w:r>
      <w:r w:rsidR="00E22092" w:rsidRPr="00D55D68">
        <w:t>10</w:t>
      </w:r>
      <w:r w:rsidRPr="00D55D68">
        <w:t xml:space="preserve">. </w:t>
      </w:r>
      <w:r w:rsidR="00E22092" w:rsidRPr="00D55D68">
        <w:t>februāra</w:t>
      </w:r>
      <w:r w:rsidRPr="00D55D68">
        <w:t xml:space="preserve"> normatīvā rezolūcija par priekšlikumu Eiropas Parlamenta un Padomes direktīvai, </w:t>
      </w:r>
      <w:bookmarkEnd w:id="4"/>
      <w:r w:rsidR="001053AE" w:rsidRPr="00F61C95">
        <w:rPr>
          <w:noProof/>
        </w:rPr>
        <w:t>ar ko Direktīvu 2014/32/ES groza attiecībā uz elektrisku transportlīdzekļu uzlādes iekārtām, saspiestas gāzes uzpildes iekārtām un elektroenerģijas, gāzes un siltumenerģijas skaitītājiem</w:t>
      </w:r>
      <w:r w:rsidRPr="00D55D68">
        <w:t xml:space="preserve"> </w:t>
      </w:r>
      <w:bookmarkStart w:id="5" w:name="References"/>
      <w:r w:rsidRPr="00D55D68">
        <w:t>(COM(2024)0561 – C10-0205/2024 – 2024/0311(COD))</w:t>
      </w:r>
      <w:bookmarkEnd w:id="5"/>
    </w:p>
    <w:p w14:paraId="5A7EA976" w14:textId="77777777" w:rsidR="00370DEB" w:rsidRPr="00D55D68" w:rsidRDefault="00370DEB" w:rsidP="00370DEB">
      <w:pPr>
        <w:pStyle w:val="NormalBold"/>
      </w:pPr>
      <w:r w:rsidRPr="00D55D68">
        <w:t>(Parastā likumdošanas procedūra: pirmais lasījums)</w:t>
      </w:r>
    </w:p>
    <w:p w14:paraId="4837E8D6" w14:textId="77777777" w:rsidR="00370DEB" w:rsidRPr="00D55D68" w:rsidRDefault="00370DEB" w:rsidP="00370DEB">
      <w:pPr>
        <w:pStyle w:val="EPComma"/>
      </w:pPr>
      <w:r w:rsidRPr="00D55D68">
        <w:rPr>
          <w:i/>
        </w:rPr>
        <w:t>Eiropas Parlaments</w:t>
      </w:r>
      <w:r w:rsidRPr="00D55D68">
        <w:t>,</w:t>
      </w:r>
    </w:p>
    <w:p w14:paraId="23EC32D5" w14:textId="77777777" w:rsidR="00370DEB" w:rsidRPr="00D55D68" w:rsidRDefault="00370DEB" w:rsidP="00370DEB">
      <w:pPr>
        <w:pStyle w:val="NormalHanging12a"/>
      </w:pPr>
      <w:r w:rsidRPr="00D55D68">
        <w:t>–</w:t>
      </w:r>
      <w:r w:rsidRPr="00D55D68">
        <w:tab/>
        <w:t>ņemot vērā Komisijas priekšlikumu Eiropas Parlamentam un Padomei (COM(2024)0561),</w:t>
      </w:r>
    </w:p>
    <w:p w14:paraId="3766EE18" w14:textId="77777777" w:rsidR="00370DEB" w:rsidRPr="00D55D68" w:rsidRDefault="00370DEB" w:rsidP="00370DEB">
      <w:pPr>
        <w:pStyle w:val="NormalHanging12a"/>
      </w:pPr>
      <w:r w:rsidRPr="00D55D68">
        <w:t>–</w:t>
      </w:r>
      <w:r w:rsidRPr="00D55D68">
        <w:tab/>
        <w:t>ņemot vērā Līguma par Eiropas Savienības darbību 294. panta 2. punktu un 114. pantu, saskaņā ar kuriem Komisija tam ir iesniegusi priekšlikumu (C10</w:t>
      </w:r>
      <w:r w:rsidRPr="00D55D68">
        <w:noBreakHyphen/>
        <w:t>0205/2024),</w:t>
      </w:r>
    </w:p>
    <w:p w14:paraId="02C8EAF6" w14:textId="77777777" w:rsidR="00370DEB" w:rsidRPr="00D55D68" w:rsidRDefault="00370DEB" w:rsidP="00370DEB">
      <w:pPr>
        <w:pStyle w:val="NormalHanging12a"/>
      </w:pPr>
      <w:r w:rsidRPr="00D55D68">
        <w:t>–</w:t>
      </w:r>
      <w:r w:rsidRPr="00D55D68">
        <w:tab/>
        <w:t>ņemot vērā Līguma par Eiropas Savienības darbību 294. panta 3. punktu,</w:t>
      </w:r>
    </w:p>
    <w:p w14:paraId="6FC2F4A7" w14:textId="77777777" w:rsidR="00370DEB" w:rsidRPr="00D55D68" w:rsidRDefault="00370DEB" w:rsidP="00370DEB">
      <w:pPr>
        <w:pStyle w:val="NormalHanging12a"/>
      </w:pPr>
      <w:r w:rsidRPr="00D55D68">
        <w:t>–</w:t>
      </w:r>
      <w:r w:rsidRPr="00D55D68">
        <w:tab/>
        <w:t>ņemot vērā Eiropas Ekonomikas un sociālo lietu komitejas 2025. gada 22. janvāra atzinumu</w:t>
      </w:r>
      <w:r w:rsidRPr="00D55D68">
        <w:rPr>
          <w:rStyle w:val="FootnoteReference"/>
        </w:rPr>
        <w:footnoteReference w:id="1"/>
      </w:r>
      <w:r w:rsidRPr="00D55D68">
        <w:t>,</w:t>
      </w:r>
    </w:p>
    <w:p w14:paraId="584FE8E7" w14:textId="19D29D2E" w:rsidR="00E82FAC" w:rsidRPr="00D55D68" w:rsidRDefault="00E82FAC" w:rsidP="00E82FAC">
      <w:pPr>
        <w:spacing w:after="240"/>
        <w:ind w:left="567" w:hanging="567"/>
      </w:pPr>
      <w:r w:rsidRPr="00D55D68">
        <w:t>–</w:t>
      </w:r>
      <w:r w:rsidRPr="00D55D68">
        <w:tab/>
        <w:t>ņemot vērā provizorisko vienošanos, ko atbildīgā komiteja apstiprināja saskaņā ar Reglamenta 75. panta 4. punktu, un Padomes pārstāvja 2025. gada 26. novembra vēstulē pausto apņemšanos apstiprināt Parlamenta nostāju saskaņā ar Līguma par Eiropas Savienības darbību 294. panta 4. punktu,</w:t>
      </w:r>
    </w:p>
    <w:p w14:paraId="25309BE3" w14:textId="77777777" w:rsidR="00370DEB" w:rsidRPr="00D55D68" w:rsidRDefault="00370DEB" w:rsidP="00370DEB">
      <w:pPr>
        <w:pStyle w:val="NormalHanging12a"/>
      </w:pPr>
      <w:r w:rsidRPr="00D55D68">
        <w:t>–</w:t>
      </w:r>
      <w:r w:rsidRPr="00D55D68">
        <w:tab/>
        <w:t>ņemot vērā Reglamenta 60. pantu,</w:t>
      </w:r>
    </w:p>
    <w:p w14:paraId="54D9189F" w14:textId="77777777" w:rsidR="00370DEB" w:rsidRPr="00D55D68" w:rsidRDefault="00370DEB" w:rsidP="00370DEB">
      <w:pPr>
        <w:pStyle w:val="NormalHanging12a"/>
      </w:pPr>
      <w:r w:rsidRPr="00D55D68">
        <w:t>–</w:t>
      </w:r>
      <w:r w:rsidRPr="00D55D68">
        <w:tab/>
        <w:t>ņemot vērā Iekšējā tirgus un patērētāju aizsardzības komitejas ziņojumu (A10-0173/2025),</w:t>
      </w:r>
    </w:p>
    <w:p w14:paraId="27927EB4" w14:textId="77777777" w:rsidR="00370DEB" w:rsidRPr="00D55D68" w:rsidRDefault="00370DEB" w:rsidP="00370DEB">
      <w:pPr>
        <w:pStyle w:val="NormalHanging12a"/>
      </w:pPr>
      <w:r w:rsidRPr="00D55D68">
        <w:t>1.</w:t>
      </w:r>
      <w:r w:rsidRPr="00D55D68">
        <w:tab/>
        <w:t>pieņem pirmajā lasījumā turpmāk izklāstīto nostāju;</w:t>
      </w:r>
    </w:p>
    <w:p w14:paraId="3A138B4B" w14:textId="77777777" w:rsidR="00370DEB" w:rsidRPr="00D55D68" w:rsidRDefault="00370DEB" w:rsidP="00370DEB">
      <w:pPr>
        <w:pStyle w:val="NormalHanging12a"/>
      </w:pPr>
      <w:r w:rsidRPr="00D55D68">
        <w:lastRenderedPageBreak/>
        <w:t>2.</w:t>
      </w:r>
      <w:r w:rsidRPr="00D55D68">
        <w:tab/>
        <w:t>prasa Komisijai priekšlikumu Parlamentam iesniegt vēlreiz, ja tā savu priekšlikumu aizstāj, būtiski groza vai ir paredzējusi to būtiski grozīt;</w:t>
      </w:r>
    </w:p>
    <w:p w14:paraId="6F2FCF41" w14:textId="77777777" w:rsidR="00367DCD" w:rsidRPr="00D55D68" w:rsidRDefault="00370DEB" w:rsidP="00370DEB">
      <w:pPr>
        <w:pStyle w:val="EPComma"/>
        <w:spacing w:before="0"/>
        <w:ind w:left="567" w:hanging="567"/>
        <w:sectPr w:rsidR="00367DCD" w:rsidRPr="00D55D68" w:rsidSect="00C7047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55D68">
        <w:t>3.</w:t>
      </w:r>
      <w:r w:rsidRPr="00D55D68">
        <w:tab/>
        <w:t>uzdod priekšsēdētājai Parlamenta nostāju nosūtīt Padomei, Komisijai un dalībvalstu parlamentiem.</w:t>
      </w:r>
    </w:p>
    <w:p w14:paraId="6BCC4B7A" w14:textId="26422EF9" w:rsidR="00367DCD" w:rsidRPr="00D55D68" w:rsidRDefault="00367DCD" w:rsidP="00367DCD">
      <w:pPr>
        <w:pStyle w:val="Normal12Hanging"/>
        <w:tabs>
          <w:tab w:val="left" w:pos="357"/>
        </w:tabs>
        <w:rPr>
          <w:b/>
          <w:noProof/>
        </w:rPr>
      </w:pPr>
      <w:r w:rsidRPr="00D55D68">
        <w:rPr>
          <w:b/>
          <w:noProof/>
        </w:rPr>
        <w:lastRenderedPageBreak/>
        <w:t>P10_TC1-COD(</w:t>
      </w:r>
      <w:r w:rsidRPr="00D55D68">
        <w:rPr>
          <w:b/>
          <w:bCs/>
          <w:color w:val="000000"/>
        </w:rPr>
        <w:t>2024)0311</w:t>
      </w:r>
    </w:p>
    <w:p w14:paraId="494C8AD7" w14:textId="56CB80AE" w:rsidR="00367DCD" w:rsidRDefault="00367DCD" w:rsidP="00367DCD">
      <w:pPr>
        <w:pStyle w:val="Normal12Hanging"/>
        <w:ind w:left="0" w:firstLine="0"/>
        <w:rPr>
          <w:rFonts w:eastAsia="Calibri"/>
          <w:b/>
          <w:szCs w:val="22"/>
          <w:lang w:eastAsia="en-US"/>
        </w:rPr>
      </w:pPr>
      <w:r w:rsidRPr="00D55D68">
        <w:rPr>
          <w:b/>
          <w:noProof/>
        </w:rPr>
        <w:t xml:space="preserve">Eiropas Parlamenta nostāja, pieņemta pirmajā lasījumā </w:t>
      </w:r>
      <w:r w:rsidRPr="00D55D68">
        <w:rPr>
          <w:b/>
        </w:rPr>
        <w:t>2026. gada 10. februārī</w:t>
      </w:r>
      <w:r w:rsidRPr="00D55D68">
        <w:rPr>
          <w:b/>
          <w:noProof/>
        </w:rPr>
        <w:t xml:space="preserve">, lai pieņemtu Eiropas Parlamenta un Padomes Direktīvu (ES) 2026/..., </w:t>
      </w:r>
      <w:r w:rsidR="001053AE" w:rsidRPr="001053AE">
        <w:rPr>
          <w:rFonts w:eastAsia="Calibri"/>
          <w:b/>
          <w:bCs/>
          <w:szCs w:val="22"/>
          <w:lang w:eastAsia="en-US"/>
        </w:rPr>
        <w:t xml:space="preserve">ar ko groza Direktīvu 2014/32/ES attiecībā uz elektrisku transportlīdzekļu uzlādes iekārtu un saspiestas gāzes </w:t>
      </w:r>
      <w:proofErr w:type="spellStart"/>
      <w:r w:rsidR="001053AE" w:rsidRPr="001053AE">
        <w:rPr>
          <w:rFonts w:eastAsia="Calibri"/>
          <w:b/>
          <w:bCs/>
          <w:szCs w:val="22"/>
          <w:lang w:eastAsia="en-US"/>
        </w:rPr>
        <w:t>uzpildes</w:t>
      </w:r>
      <w:proofErr w:type="spellEnd"/>
      <w:r w:rsidR="001053AE" w:rsidRPr="001053AE">
        <w:rPr>
          <w:rFonts w:eastAsia="Calibri"/>
          <w:b/>
          <w:bCs/>
          <w:szCs w:val="22"/>
          <w:lang w:eastAsia="en-US"/>
        </w:rPr>
        <w:t xml:space="preserve"> iekārtu </w:t>
      </w:r>
      <w:proofErr w:type="spellStart"/>
      <w:r w:rsidR="001053AE" w:rsidRPr="001053AE">
        <w:rPr>
          <w:rFonts w:eastAsia="Calibri"/>
          <w:b/>
          <w:bCs/>
          <w:szCs w:val="22"/>
          <w:lang w:eastAsia="en-US"/>
        </w:rPr>
        <w:t>mērsistēmām</w:t>
      </w:r>
      <w:proofErr w:type="spellEnd"/>
      <w:r w:rsidR="001053AE" w:rsidRPr="001053AE">
        <w:rPr>
          <w:rFonts w:eastAsia="Calibri"/>
          <w:b/>
          <w:bCs/>
          <w:szCs w:val="22"/>
          <w:lang w:eastAsia="en-US"/>
        </w:rPr>
        <w:t xml:space="preserve"> un elektroenerģijas, gāzes un siltumenerģijas skaitītājiem</w:t>
      </w:r>
      <w:r w:rsidRPr="00D55D68">
        <w:rPr>
          <w:rFonts w:eastAsia="Calibri"/>
          <w:b/>
          <w:szCs w:val="22"/>
          <w:lang w:eastAsia="en-US"/>
        </w:rPr>
        <w:t xml:space="preserve"> </w:t>
      </w:r>
    </w:p>
    <w:p w14:paraId="45CAA4FE" w14:textId="0470DE10" w:rsidR="001053AE" w:rsidRDefault="001053AE" w:rsidP="001053AE">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1053AE">
        <w:rPr>
          <w:i/>
        </w:rPr>
        <w:t>(ES) 202</w:t>
      </w:r>
      <w:r w:rsidRPr="001053AE">
        <w:rPr>
          <w:i/>
        </w:rPr>
        <w:t>6</w:t>
      </w:r>
      <w:r w:rsidRPr="001053AE">
        <w:rPr>
          <w:i/>
        </w:rPr>
        <w:t>/</w:t>
      </w:r>
      <w:r w:rsidRPr="001053AE">
        <w:rPr>
          <w:i/>
        </w:rPr>
        <w:t>706</w:t>
      </w:r>
      <w:r w:rsidRPr="001053AE">
        <w:rPr>
          <w:i/>
        </w:rPr>
        <w:t>.)</w:t>
      </w:r>
    </w:p>
    <w:p w14:paraId="188FA65A" w14:textId="77777777" w:rsidR="001053AE" w:rsidRPr="001053AE" w:rsidRDefault="001053AE" w:rsidP="00367DCD">
      <w:pPr>
        <w:pStyle w:val="Normal12Hanging"/>
        <w:ind w:left="0" w:firstLine="0"/>
        <w:rPr>
          <w:i/>
        </w:rPr>
      </w:pPr>
    </w:p>
    <w:sectPr w:rsidR="001053AE" w:rsidRPr="001053AE" w:rsidSect="00C7047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597C" w14:textId="77777777" w:rsidR="00545D60" w:rsidRPr="00C70472" w:rsidRDefault="00545D60">
      <w:r w:rsidRPr="00C70472">
        <w:separator/>
      </w:r>
    </w:p>
  </w:endnote>
  <w:endnote w:type="continuationSeparator" w:id="0">
    <w:p w14:paraId="2C7B591C" w14:textId="77777777" w:rsidR="00545D60" w:rsidRPr="00C70472" w:rsidRDefault="00545D60">
      <w:r w:rsidRPr="00C704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B27FD" w14:textId="77777777" w:rsidR="00064002" w:rsidRPr="00C704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68ABA" w14:textId="77777777" w:rsidR="00064002" w:rsidRPr="00C704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B1B1A" w14:textId="77777777" w:rsidR="00064002" w:rsidRPr="00C704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5F864" w14:textId="77777777" w:rsidR="00545D60" w:rsidRPr="00C70472" w:rsidRDefault="00545D60">
      <w:r w:rsidRPr="00C70472">
        <w:separator/>
      </w:r>
    </w:p>
  </w:footnote>
  <w:footnote w:type="continuationSeparator" w:id="0">
    <w:p w14:paraId="6DD0CCE4" w14:textId="77777777" w:rsidR="00545D60" w:rsidRPr="00C70472" w:rsidRDefault="00545D60">
      <w:r w:rsidRPr="00C70472">
        <w:continuationSeparator/>
      </w:r>
    </w:p>
  </w:footnote>
  <w:footnote w:id="1">
    <w:p w14:paraId="3312CC10" w14:textId="5889922A" w:rsidR="00370DEB" w:rsidRPr="00C70472" w:rsidRDefault="00370DEB" w:rsidP="00C70472">
      <w:pPr>
        <w:pStyle w:val="FootnoteText"/>
        <w:ind w:left="567" w:hanging="567"/>
        <w:rPr>
          <w:sz w:val="24"/>
          <w:lang w:val="lv-LV"/>
        </w:rPr>
      </w:pPr>
      <w:r w:rsidRPr="00C70472">
        <w:rPr>
          <w:rStyle w:val="FootnoteReference"/>
          <w:sz w:val="24"/>
          <w:lang w:val="lv-LV"/>
        </w:rPr>
        <w:footnoteRef/>
      </w:r>
      <w:r w:rsidR="00C70472" w:rsidRPr="00C70472">
        <w:rPr>
          <w:sz w:val="24"/>
          <w:lang w:val="lv-LV"/>
        </w:rPr>
        <w:t xml:space="preserve"> </w:t>
      </w:r>
      <w:r w:rsidR="00C70472" w:rsidRPr="00C70472">
        <w:rPr>
          <w:sz w:val="24"/>
          <w:lang w:val="lv-LV"/>
        </w:rPr>
        <w:tab/>
      </w:r>
      <w:r w:rsidRPr="00C70472">
        <w:rPr>
          <w:sz w:val="24"/>
          <w:lang w:val="lv-LV"/>
        </w:rPr>
        <w:t xml:space="preserve">OV C, C/2025/1192, 21.3.2025., ELI: </w:t>
      </w:r>
      <w:hyperlink r:id="rId1" w:history="1">
        <w:r w:rsidRPr="00C70472">
          <w:rPr>
            <w:rStyle w:val="Hyperlink"/>
            <w:sz w:val="24"/>
            <w:lang w:val="lv-LV"/>
          </w:rPr>
          <w:t>https://eur-lex.europa.eu/eli/C/2025/1192/oj</w:t>
        </w:r>
      </w:hyperlink>
      <w:r w:rsidRPr="00C70472">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BA1D5" w14:textId="77777777" w:rsidR="00064002" w:rsidRPr="00C704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2C660" w14:textId="77777777" w:rsidR="00064002" w:rsidRPr="00C704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8653E" w14:textId="77777777" w:rsidR="00064002" w:rsidRPr="00C704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579096161">
    <w:abstractNumId w:val="0"/>
  </w:num>
  <w:num w:numId="2" w16cid:durableId="860508837">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5"/>
    <w:docVar w:name="dvlangue" w:val="LV"/>
    <w:docVar w:name="dvnumam" w:val="23"/>
    <w:docVar w:name="dvpe" w:val="773.060"/>
    <w:docVar w:name="dvrapporteur" w:val="Referents: "/>
    <w:docVar w:name="dvstar" w:val="***I"/>
    <w:docVar w:name="dvtitre" w:val="Eiropas Parlamenta 2026. gada XX. XXX normatīvā rezolūcija par priekšlikumu Eiropas Parlamenta un Padomes direktīvai, ar ko Direktīvu 2014/32/ES groza attiecībā uz elektrisku transportlīdzekļu uzlādes iekārtām, saspiestas gāzes uzpildes iekārtām un elektroenerģijas, gāzes un siltumenerģijas skaitītājiem(COM(2024)0561 – C10-0205/2024 – 2024/0311(COD))"/>
  </w:docVars>
  <w:rsids>
    <w:rsidRoot w:val="00545D60"/>
    <w:rsid w:val="00002272"/>
    <w:rsid w:val="00064002"/>
    <w:rsid w:val="000677B9"/>
    <w:rsid w:val="000831BA"/>
    <w:rsid w:val="000A42CC"/>
    <w:rsid w:val="000E7DD9"/>
    <w:rsid w:val="0010095E"/>
    <w:rsid w:val="001053AE"/>
    <w:rsid w:val="00125B37"/>
    <w:rsid w:val="00187494"/>
    <w:rsid w:val="001A3ADC"/>
    <w:rsid w:val="001C41E9"/>
    <w:rsid w:val="001F32AE"/>
    <w:rsid w:val="002767FF"/>
    <w:rsid w:val="002B18FE"/>
    <w:rsid w:val="002B5493"/>
    <w:rsid w:val="00343214"/>
    <w:rsid w:val="00361C00"/>
    <w:rsid w:val="00367DCD"/>
    <w:rsid w:val="00370DE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5D60"/>
    <w:rsid w:val="00560270"/>
    <w:rsid w:val="005C2568"/>
    <w:rsid w:val="005F1B17"/>
    <w:rsid w:val="005F5F7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15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472"/>
    <w:rsid w:val="00C941CB"/>
    <w:rsid w:val="00CC2357"/>
    <w:rsid w:val="00CF071A"/>
    <w:rsid w:val="00D058B8"/>
    <w:rsid w:val="00D55D68"/>
    <w:rsid w:val="00D56C11"/>
    <w:rsid w:val="00D834A0"/>
    <w:rsid w:val="00D872DF"/>
    <w:rsid w:val="00D91E21"/>
    <w:rsid w:val="00DA6417"/>
    <w:rsid w:val="00DA7FCD"/>
    <w:rsid w:val="00E22092"/>
    <w:rsid w:val="00E365E1"/>
    <w:rsid w:val="00E820A4"/>
    <w:rsid w:val="00E82FA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3AAAD"/>
  <w15:chartTrackingRefBased/>
  <w15:docId w15:val="{B09D21F0-3368-4F0D-9F2C-B99FA4BA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70DEB"/>
    <w:rPr>
      <w:b/>
    </w:rPr>
  </w:style>
  <w:style w:type="paragraph" w:customStyle="1" w:styleId="NormalHanging12a">
    <w:name w:val="NormalHanging12a"/>
    <w:basedOn w:val="Normal"/>
    <w:rsid w:val="00370DEB"/>
    <w:pPr>
      <w:spacing w:after="240"/>
      <w:ind w:left="567" w:hanging="567"/>
    </w:pPr>
  </w:style>
  <w:style w:type="paragraph" w:customStyle="1" w:styleId="NormalBold12b">
    <w:name w:val="NormalBold12b"/>
    <w:basedOn w:val="Normal"/>
    <w:rsid w:val="00370DEB"/>
    <w:pPr>
      <w:spacing w:before="240"/>
    </w:pPr>
    <w:rPr>
      <w:b/>
    </w:rPr>
  </w:style>
  <w:style w:type="paragraph" w:customStyle="1" w:styleId="EPComma">
    <w:name w:val="EPComma"/>
    <w:basedOn w:val="Normal"/>
    <w:rsid w:val="00370DEB"/>
    <w:pPr>
      <w:spacing w:before="480" w:after="240"/>
    </w:pPr>
  </w:style>
  <w:style w:type="character" w:styleId="Hyperlink">
    <w:name w:val="Hyperlink"/>
    <w:basedOn w:val="DefaultParagraphFont"/>
    <w:unhideWhenUsed/>
    <w:rsid w:val="00370DEB"/>
    <w:rPr>
      <w:color w:val="0563C1" w:themeColor="hyperlink"/>
      <w:u w:val="single"/>
    </w:rPr>
  </w:style>
  <w:style w:type="character" w:customStyle="1" w:styleId="Normal6Char">
    <w:name w:val="Normal6 Char"/>
    <w:basedOn w:val="DefaultParagraphFont"/>
    <w:link w:val="Normal6"/>
    <w:locked/>
    <w:rsid w:val="00370DEB"/>
    <w:rPr>
      <w:sz w:val="24"/>
      <w:lang w:val="lv-LV"/>
    </w:rPr>
  </w:style>
  <w:style w:type="paragraph" w:customStyle="1" w:styleId="Normal6">
    <w:name w:val="Normal6"/>
    <w:basedOn w:val="Normal"/>
    <w:link w:val="Normal6Char"/>
    <w:rsid w:val="00370DEB"/>
    <w:pPr>
      <w:spacing w:after="120"/>
    </w:pPr>
  </w:style>
  <w:style w:type="character" w:customStyle="1" w:styleId="NormalBoldChar">
    <w:name w:val="NormalBold Char"/>
    <w:basedOn w:val="DefaultParagraphFont"/>
    <w:link w:val="NormalBold"/>
    <w:locked/>
    <w:rsid w:val="00370DEB"/>
    <w:rPr>
      <w:b/>
      <w:sz w:val="24"/>
      <w:lang w:val="lv-LV"/>
    </w:rPr>
  </w:style>
  <w:style w:type="paragraph" w:customStyle="1" w:styleId="ColumnHeading">
    <w:name w:val="ColumnHeading"/>
    <w:basedOn w:val="Normal"/>
    <w:rsid w:val="00370DEB"/>
    <w:pPr>
      <w:spacing w:after="240"/>
      <w:jc w:val="center"/>
    </w:pPr>
    <w:rPr>
      <w:i/>
    </w:rPr>
  </w:style>
  <w:style w:type="paragraph" w:customStyle="1" w:styleId="AMNumberTabs">
    <w:name w:val="AMNumberTabs"/>
    <w:basedOn w:val="Normal"/>
    <w:rsid w:val="00370D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E82FAC"/>
    <w:rPr>
      <w:sz w:val="24"/>
      <w:lang w:val="lv-LV"/>
    </w:rPr>
  </w:style>
  <w:style w:type="paragraph" w:customStyle="1" w:styleId="Normal12Hanging">
    <w:name w:val="Normal12Hanging"/>
    <w:basedOn w:val="Normal"/>
    <w:link w:val="Normal12HangingChar"/>
    <w:rsid w:val="00367DCD"/>
    <w:pPr>
      <w:spacing w:after="240"/>
      <w:ind w:left="357" w:hanging="357"/>
    </w:pPr>
  </w:style>
  <w:style w:type="character" w:customStyle="1" w:styleId="Normal12HangingChar">
    <w:name w:val="Normal12Hanging Char"/>
    <w:basedOn w:val="DefaultParagraphFont"/>
    <w:link w:val="Normal12Hanging"/>
    <w:rsid w:val="00367DCD"/>
    <w:rPr>
      <w:sz w:val="24"/>
      <w:lang w:val="lv-LV"/>
    </w:rPr>
  </w:style>
  <w:style w:type="character" w:customStyle="1" w:styleId="Heading1Char">
    <w:name w:val="Heading 1 Char"/>
    <w:basedOn w:val="DefaultParagraphFont"/>
    <w:link w:val="Heading1"/>
    <w:uiPriority w:val="9"/>
    <w:rsid w:val="00367DCD"/>
    <w:rPr>
      <w:b/>
      <w:kern w:val="28"/>
      <w:sz w:val="28"/>
      <w:lang w:val="fr-FR" w:eastAsia="fr-FR"/>
    </w:rPr>
  </w:style>
  <w:style w:type="character" w:customStyle="1" w:styleId="Heading2Char">
    <w:name w:val="Heading 2 Char"/>
    <w:basedOn w:val="DefaultParagraphFont"/>
    <w:link w:val="Heading2"/>
    <w:uiPriority w:val="9"/>
    <w:rsid w:val="00367DCD"/>
    <w:rPr>
      <w:sz w:val="24"/>
      <w:lang w:val="fr-FR" w:eastAsia="fr-FR"/>
    </w:rPr>
  </w:style>
  <w:style w:type="character" w:customStyle="1" w:styleId="Heading3Char">
    <w:name w:val="Heading 3 Char"/>
    <w:basedOn w:val="DefaultParagraphFont"/>
    <w:link w:val="Heading3"/>
    <w:uiPriority w:val="9"/>
    <w:semiHidden/>
    <w:rsid w:val="00367DCD"/>
    <w:rPr>
      <w:rFonts w:ascii="Arial" w:hAnsi="Arial"/>
      <w:sz w:val="24"/>
      <w:lang w:val="fr-FR" w:eastAsia="fr-FR"/>
    </w:rPr>
  </w:style>
  <w:style w:type="character" w:customStyle="1" w:styleId="Heading4Char">
    <w:name w:val="Heading 4 Char"/>
    <w:basedOn w:val="DefaultParagraphFont"/>
    <w:link w:val="Heading4"/>
    <w:uiPriority w:val="9"/>
    <w:semiHidden/>
    <w:rsid w:val="00367DCD"/>
    <w:rPr>
      <w:sz w:val="24"/>
      <w:lang w:val="en-US" w:eastAsia="fr-FR"/>
    </w:rPr>
  </w:style>
  <w:style w:type="character" w:customStyle="1" w:styleId="Heading5Char">
    <w:name w:val="Heading 5 Char"/>
    <w:basedOn w:val="DefaultParagraphFont"/>
    <w:link w:val="Heading5"/>
    <w:uiPriority w:val="9"/>
    <w:semiHidden/>
    <w:rsid w:val="00367DCD"/>
    <w:rPr>
      <w:sz w:val="24"/>
      <w:lang w:val="en-US" w:eastAsia="fr-FR"/>
    </w:rPr>
  </w:style>
  <w:style w:type="character" w:customStyle="1" w:styleId="Heading6Char">
    <w:name w:val="Heading 6 Char"/>
    <w:basedOn w:val="DefaultParagraphFont"/>
    <w:link w:val="Heading6"/>
    <w:uiPriority w:val="9"/>
    <w:semiHidden/>
    <w:rsid w:val="00367DCD"/>
    <w:rPr>
      <w:i/>
      <w:sz w:val="22"/>
      <w:lang w:val="lv-LV"/>
    </w:rPr>
  </w:style>
  <w:style w:type="character" w:customStyle="1" w:styleId="Heading7Char">
    <w:name w:val="Heading 7 Char"/>
    <w:basedOn w:val="DefaultParagraphFont"/>
    <w:link w:val="Heading7"/>
    <w:uiPriority w:val="9"/>
    <w:semiHidden/>
    <w:rsid w:val="00367DCD"/>
    <w:rPr>
      <w:rFonts w:ascii="Arial" w:hAnsi="Arial"/>
      <w:sz w:val="24"/>
      <w:lang w:val="lv-LV"/>
    </w:rPr>
  </w:style>
  <w:style w:type="character" w:customStyle="1" w:styleId="Heading8Char">
    <w:name w:val="Heading 8 Char"/>
    <w:basedOn w:val="DefaultParagraphFont"/>
    <w:link w:val="Heading8"/>
    <w:semiHidden/>
    <w:rsid w:val="00367DCD"/>
    <w:rPr>
      <w:rFonts w:ascii="Arial" w:hAnsi="Arial"/>
      <w:i/>
      <w:sz w:val="24"/>
      <w:lang w:val="lv-LV"/>
    </w:rPr>
  </w:style>
  <w:style w:type="character" w:customStyle="1" w:styleId="Heading9Char">
    <w:name w:val="Heading 9 Char"/>
    <w:basedOn w:val="DefaultParagraphFont"/>
    <w:link w:val="Heading9"/>
    <w:semiHidden/>
    <w:rsid w:val="00367DCD"/>
    <w:rPr>
      <w:rFonts w:ascii="Arial" w:hAnsi="Arial"/>
      <w:b/>
      <w:i/>
      <w:sz w:val="18"/>
      <w:lang w:val="lv-LV"/>
    </w:rPr>
  </w:style>
  <w:style w:type="paragraph" w:styleId="Header">
    <w:name w:val="header"/>
    <w:basedOn w:val="Normal"/>
    <w:link w:val="HeaderChar"/>
    <w:uiPriority w:val="99"/>
    <w:rsid w:val="00367DCD"/>
    <w:pPr>
      <w:tabs>
        <w:tab w:val="center" w:pos="4513"/>
        <w:tab w:val="right" w:pos="9026"/>
      </w:tabs>
    </w:pPr>
  </w:style>
  <w:style w:type="character" w:customStyle="1" w:styleId="HeaderChar">
    <w:name w:val="Header Char"/>
    <w:basedOn w:val="DefaultParagraphFont"/>
    <w:link w:val="Header"/>
    <w:uiPriority w:val="99"/>
    <w:rsid w:val="00367DCD"/>
    <w:rPr>
      <w:sz w:val="24"/>
      <w:lang w:val="lv-LV"/>
    </w:rPr>
  </w:style>
  <w:style w:type="paragraph" w:customStyle="1" w:styleId="AmDocTypeTab">
    <w:name w:val="AmDocTypeTab"/>
    <w:basedOn w:val="Normal"/>
    <w:rsid w:val="00367DCD"/>
    <w:pPr>
      <w:tabs>
        <w:tab w:val="right" w:pos="9072"/>
      </w:tabs>
    </w:pPr>
    <w:rPr>
      <w:b/>
    </w:rPr>
  </w:style>
  <w:style w:type="paragraph" w:customStyle="1" w:styleId="Normal12a">
    <w:name w:val="Normal12a"/>
    <w:basedOn w:val="Normal"/>
    <w:rsid w:val="00367DCD"/>
    <w:pPr>
      <w:spacing w:after="240"/>
    </w:pPr>
  </w:style>
  <w:style w:type="paragraph" w:customStyle="1" w:styleId="EPFooter2">
    <w:name w:val="EPFooter2"/>
    <w:basedOn w:val="Normal"/>
    <w:next w:val="Normal"/>
    <w:rsid w:val="00367DCD"/>
    <w:pPr>
      <w:widowControl/>
      <w:tabs>
        <w:tab w:val="center" w:pos="4535"/>
        <w:tab w:val="right" w:pos="9921"/>
      </w:tabs>
      <w:ind w:left="-851" w:right="-851"/>
    </w:pPr>
    <w:rPr>
      <w:rFonts w:ascii="Arial" w:hAnsi="Arial" w:cs="Arial"/>
      <w:b/>
      <w:sz w:val="48"/>
    </w:rPr>
  </w:style>
  <w:style w:type="paragraph" w:customStyle="1" w:styleId="AmOrLang">
    <w:name w:val="AmOrLang"/>
    <w:basedOn w:val="Normal"/>
    <w:rsid w:val="00367DCD"/>
    <w:pPr>
      <w:spacing w:before="240" w:after="240"/>
      <w:jc w:val="right"/>
    </w:pPr>
  </w:style>
  <w:style w:type="paragraph" w:customStyle="1" w:styleId="NormalCenter12a">
    <w:name w:val="NormalCenter12a"/>
    <w:basedOn w:val="Normal"/>
    <w:rsid w:val="00367DCD"/>
    <w:pPr>
      <w:spacing w:after="240"/>
      <w:jc w:val="center"/>
    </w:pPr>
  </w:style>
  <w:style w:type="paragraph" w:customStyle="1" w:styleId="AmDateTab">
    <w:name w:val="AmDateTab"/>
    <w:basedOn w:val="Normal"/>
    <w:rsid w:val="00367DCD"/>
    <w:pPr>
      <w:tabs>
        <w:tab w:val="right" w:pos="9072"/>
      </w:tabs>
    </w:pPr>
  </w:style>
  <w:style w:type="paragraph" w:customStyle="1" w:styleId="AmNumberTabs0">
    <w:name w:val="AmNumberTabs"/>
    <w:basedOn w:val="Normal"/>
    <w:rsid w:val="00367D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67DCD"/>
    <w:pPr>
      <w:spacing w:before="720" w:after="240"/>
      <w:jc w:val="center"/>
    </w:pPr>
  </w:style>
  <w:style w:type="paragraph" w:customStyle="1" w:styleId="EPFooter">
    <w:name w:val="EPFooter"/>
    <w:basedOn w:val="Normal"/>
    <w:rsid w:val="00367DCD"/>
    <w:pPr>
      <w:tabs>
        <w:tab w:val="center" w:pos="4535"/>
        <w:tab w:val="right" w:pos="9071"/>
      </w:tabs>
      <w:spacing w:before="240" w:after="240"/>
    </w:pPr>
    <w:rPr>
      <w:sz w:val="22"/>
    </w:rPr>
  </w:style>
  <w:style w:type="paragraph" w:styleId="TOCHeading">
    <w:name w:val="TOC Heading"/>
    <w:basedOn w:val="Normal"/>
    <w:next w:val="Normal"/>
    <w:uiPriority w:val="39"/>
    <w:unhideWhenUsed/>
    <w:qFormat/>
    <w:rsid w:val="00367DCD"/>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367DCD"/>
    <w:pPr>
      <w:tabs>
        <w:tab w:val="center" w:pos="4513"/>
        <w:tab w:val="right" w:pos="9026"/>
      </w:tabs>
    </w:pPr>
  </w:style>
  <w:style w:type="character" w:customStyle="1" w:styleId="FooterChar">
    <w:name w:val="Footer Char"/>
    <w:basedOn w:val="DefaultParagraphFont"/>
    <w:link w:val="Footer"/>
    <w:uiPriority w:val="99"/>
    <w:rsid w:val="00367DCD"/>
    <w:rPr>
      <w:sz w:val="24"/>
      <w:lang w:val="lv-LV"/>
    </w:rPr>
  </w:style>
  <w:style w:type="numbering" w:customStyle="1" w:styleId="NoList1">
    <w:name w:val="No List1"/>
    <w:next w:val="NoList"/>
    <w:uiPriority w:val="99"/>
    <w:semiHidden/>
    <w:unhideWhenUsed/>
    <w:rsid w:val="00367DCD"/>
  </w:style>
  <w:style w:type="paragraph" w:customStyle="1" w:styleId="TOC11">
    <w:name w:val="TOC 11"/>
    <w:basedOn w:val="Normal"/>
    <w:next w:val="Normal"/>
    <w:uiPriority w:val="39"/>
    <w:semiHidden/>
    <w:unhideWhenUsed/>
    <w:rsid w:val="00367DCD"/>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367DCD"/>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367DCD"/>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367DCD"/>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367DCD"/>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367DCD"/>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367DCD"/>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367DCD"/>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367DCD"/>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367DC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67DC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367DCD"/>
    <w:pPr>
      <w:widowControl/>
    </w:pPr>
    <w:rPr>
      <w:rFonts w:eastAsia="Calibri"/>
      <w:sz w:val="2"/>
      <w:szCs w:val="22"/>
      <w:lang w:eastAsia="en-US"/>
    </w:rPr>
  </w:style>
  <w:style w:type="paragraph" w:customStyle="1" w:styleId="FooterCouncil">
    <w:name w:val="Footer Council"/>
    <w:basedOn w:val="Normal"/>
    <w:rsid w:val="00367DCD"/>
    <w:pPr>
      <w:widowControl/>
    </w:pPr>
    <w:rPr>
      <w:rFonts w:eastAsia="Calibri"/>
      <w:sz w:val="2"/>
      <w:szCs w:val="22"/>
      <w:lang w:eastAsia="en-US"/>
    </w:rPr>
  </w:style>
  <w:style w:type="paragraph" w:customStyle="1" w:styleId="TechnicalBlock">
    <w:name w:val="Technical Block"/>
    <w:basedOn w:val="Normal"/>
    <w:next w:val="Normal"/>
    <w:rsid w:val="00367DCD"/>
    <w:pPr>
      <w:widowControl/>
      <w:spacing w:after="240"/>
      <w:jc w:val="center"/>
    </w:pPr>
    <w:rPr>
      <w:rFonts w:eastAsia="Calibri"/>
      <w:szCs w:val="22"/>
      <w:lang w:eastAsia="en-US"/>
    </w:rPr>
  </w:style>
  <w:style w:type="character" w:customStyle="1" w:styleId="Marker">
    <w:name w:val="Marker"/>
    <w:basedOn w:val="DefaultParagraphFont"/>
    <w:rsid w:val="00367DCD"/>
    <w:rPr>
      <w:color w:val="0000FF"/>
      <w:bdr w:val="none" w:sz="0" w:space="0" w:color="auto"/>
      <w:shd w:val="clear" w:color="auto" w:fill="auto"/>
    </w:rPr>
  </w:style>
  <w:style w:type="character" w:customStyle="1" w:styleId="Marker1">
    <w:name w:val="Marker1"/>
    <w:basedOn w:val="DefaultParagraphFont"/>
    <w:rsid w:val="00367DCD"/>
    <w:rPr>
      <w:color w:val="008000"/>
      <w:bdr w:val="none" w:sz="0" w:space="0" w:color="auto"/>
      <w:shd w:val="clear" w:color="auto" w:fill="auto"/>
    </w:rPr>
  </w:style>
  <w:style w:type="paragraph" w:customStyle="1" w:styleId="Text1">
    <w:name w:val="Text 1"/>
    <w:basedOn w:val="Normal"/>
    <w:rsid w:val="00367DCD"/>
    <w:pPr>
      <w:widowControl/>
      <w:spacing w:before="120" w:after="120" w:line="360" w:lineRule="auto"/>
      <w:ind w:left="850"/>
    </w:pPr>
    <w:rPr>
      <w:rFonts w:eastAsia="Calibri"/>
      <w:szCs w:val="22"/>
      <w:lang w:eastAsia="en-US"/>
    </w:rPr>
  </w:style>
  <w:style w:type="paragraph" w:customStyle="1" w:styleId="Text2">
    <w:name w:val="Text 2"/>
    <w:basedOn w:val="Normal"/>
    <w:rsid w:val="00367DCD"/>
    <w:pPr>
      <w:widowControl/>
      <w:spacing w:before="120" w:after="120" w:line="360" w:lineRule="auto"/>
      <w:ind w:left="1417"/>
    </w:pPr>
    <w:rPr>
      <w:rFonts w:eastAsia="Calibri"/>
      <w:szCs w:val="22"/>
      <w:lang w:eastAsia="en-US"/>
    </w:rPr>
  </w:style>
  <w:style w:type="paragraph" w:customStyle="1" w:styleId="Text3">
    <w:name w:val="Text 3"/>
    <w:basedOn w:val="Normal"/>
    <w:rsid w:val="00367DCD"/>
    <w:pPr>
      <w:widowControl/>
      <w:spacing w:before="120" w:after="120" w:line="360" w:lineRule="auto"/>
      <w:ind w:left="1984"/>
    </w:pPr>
    <w:rPr>
      <w:rFonts w:eastAsia="Calibri"/>
      <w:szCs w:val="22"/>
      <w:lang w:eastAsia="en-US"/>
    </w:rPr>
  </w:style>
  <w:style w:type="paragraph" w:customStyle="1" w:styleId="Text4">
    <w:name w:val="Text 4"/>
    <w:basedOn w:val="Normal"/>
    <w:rsid w:val="00367DCD"/>
    <w:pPr>
      <w:widowControl/>
      <w:spacing w:before="120" w:after="120" w:line="360" w:lineRule="auto"/>
      <w:ind w:left="2551"/>
    </w:pPr>
    <w:rPr>
      <w:rFonts w:eastAsia="Calibri"/>
      <w:szCs w:val="22"/>
      <w:lang w:eastAsia="en-US"/>
    </w:rPr>
  </w:style>
  <w:style w:type="paragraph" w:customStyle="1" w:styleId="Text5">
    <w:name w:val="Text 5"/>
    <w:basedOn w:val="Normal"/>
    <w:rsid w:val="00367DCD"/>
    <w:pPr>
      <w:widowControl/>
      <w:spacing w:before="120" w:after="120" w:line="360" w:lineRule="auto"/>
      <w:ind w:left="3118"/>
    </w:pPr>
    <w:rPr>
      <w:rFonts w:eastAsia="Calibri"/>
      <w:szCs w:val="22"/>
      <w:lang w:eastAsia="en-US"/>
    </w:rPr>
  </w:style>
  <w:style w:type="paragraph" w:customStyle="1" w:styleId="Text6">
    <w:name w:val="Text 6"/>
    <w:basedOn w:val="Normal"/>
    <w:rsid w:val="00367DCD"/>
    <w:pPr>
      <w:widowControl/>
      <w:spacing w:before="120" w:after="120" w:line="360" w:lineRule="auto"/>
      <w:ind w:left="3685"/>
    </w:pPr>
    <w:rPr>
      <w:rFonts w:eastAsia="Calibri"/>
      <w:szCs w:val="22"/>
      <w:lang w:eastAsia="en-US"/>
    </w:rPr>
  </w:style>
  <w:style w:type="paragraph" w:customStyle="1" w:styleId="Text7">
    <w:name w:val="Text 7"/>
    <w:basedOn w:val="Normal"/>
    <w:rsid w:val="00367DCD"/>
    <w:pPr>
      <w:widowControl/>
      <w:spacing w:before="120" w:after="120" w:line="360" w:lineRule="auto"/>
      <w:ind w:left="4252"/>
    </w:pPr>
    <w:rPr>
      <w:rFonts w:eastAsia="Calibri"/>
      <w:szCs w:val="22"/>
      <w:lang w:eastAsia="en-US"/>
    </w:rPr>
  </w:style>
  <w:style w:type="paragraph" w:customStyle="1" w:styleId="Text8">
    <w:name w:val="Text 8"/>
    <w:basedOn w:val="Normal"/>
    <w:rsid w:val="00367DCD"/>
    <w:pPr>
      <w:widowControl/>
      <w:spacing w:before="120" w:after="120" w:line="360" w:lineRule="auto"/>
      <w:ind w:left="4819"/>
    </w:pPr>
    <w:rPr>
      <w:rFonts w:eastAsia="Calibri"/>
      <w:szCs w:val="22"/>
      <w:lang w:eastAsia="en-US"/>
    </w:rPr>
  </w:style>
  <w:style w:type="paragraph" w:customStyle="1" w:styleId="Text9">
    <w:name w:val="Text 9"/>
    <w:basedOn w:val="Normal"/>
    <w:rsid w:val="00367DCD"/>
    <w:pPr>
      <w:widowControl/>
      <w:spacing w:before="120" w:after="120" w:line="360" w:lineRule="auto"/>
      <w:ind w:left="5386"/>
    </w:pPr>
    <w:rPr>
      <w:rFonts w:eastAsia="Calibri"/>
      <w:szCs w:val="22"/>
      <w:lang w:eastAsia="en-US"/>
    </w:rPr>
  </w:style>
  <w:style w:type="paragraph" w:customStyle="1" w:styleId="Text10">
    <w:name w:val="Text 10"/>
    <w:basedOn w:val="Normal"/>
    <w:rsid w:val="00367DCD"/>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367DCD"/>
    <w:pPr>
      <w:widowControl/>
      <w:spacing w:before="120" w:after="120" w:line="360" w:lineRule="auto"/>
      <w:jc w:val="center"/>
    </w:pPr>
    <w:rPr>
      <w:rFonts w:eastAsia="Calibri"/>
      <w:szCs w:val="22"/>
      <w:lang w:eastAsia="en-US"/>
    </w:rPr>
  </w:style>
  <w:style w:type="paragraph" w:customStyle="1" w:styleId="NormalLeft">
    <w:name w:val="Normal Left"/>
    <w:basedOn w:val="Normal"/>
    <w:rsid w:val="00367DCD"/>
    <w:pPr>
      <w:widowControl/>
      <w:spacing w:before="120" w:after="120" w:line="360" w:lineRule="auto"/>
    </w:pPr>
    <w:rPr>
      <w:rFonts w:eastAsia="Calibri"/>
      <w:szCs w:val="22"/>
      <w:lang w:eastAsia="en-US"/>
    </w:rPr>
  </w:style>
  <w:style w:type="paragraph" w:customStyle="1" w:styleId="NormalRight">
    <w:name w:val="Normal Right"/>
    <w:basedOn w:val="Normal"/>
    <w:rsid w:val="00367DCD"/>
    <w:pPr>
      <w:widowControl/>
      <w:spacing w:before="120" w:after="120" w:line="360" w:lineRule="auto"/>
      <w:jc w:val="right"/>
    </w:pPr>
    <w:rPr>
      <w:rFonts w:eastAsia="Calibri"/>
      <w:szCs w:val="22"/>
      <w:lang w:eastAsia="en-US"/>
    </w:rPr>
  </w:style>
  <w:style w:type="paragraph" w:customStyle="1" w:styleId="QuotedText">
    <w:name w:val="Quoted Text"/>
    <w:basedOn w:val="Normal"/>
    <w:rsid w:val="00367DCD"/>
    <w:pPr>
      <w:widowControl/>
      <w:spacing w:before="120" w:after="120" w:line="360" w:lineRule="auto"/>
      <w:ind w:left="1417"/>
    </w:pPr>
    <w:rPr>
      <w:rFonts w:eastAsia="Calibri"/>
      <w:szCs w:val="22"/>
      <w:lang w:eastAsia="en-US"/>
    </w:rPr>
  </w:style>
  <w:style w:type="paragraph" w:customStyle="1" w:styleId="Point0">
    <w:name w:val="Point 0"/>
    <w:basedOn w:val="Normal"/>
    <w:rsid w:val="00367DCD"/>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367DCD"/>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367DCD"/>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367DCD"/>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367DCD"/>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367DCD"/>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367DCD"/>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67DCD"/>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67DCD"/>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67DCD"/>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367DCD"/>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367DCD"/>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367DCD"/>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367DCD"/>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367DCD"/>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367DCD"/>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367DCD"/>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367DCD"/>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367DCD"/>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367DCD"/>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367DCD"/>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367DCD"/>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367DCD"/>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367DCD"/>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367DCD"/>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367DCD"/>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367DCD"/>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367DCD"/>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367DCD"/>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367DCD"/>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367DCD"/>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367DCD"/>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367DCD"/>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367DCD"/>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367DCD"/>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367DCD"/>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367DCD"/>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367DCD"/>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367DCD"/>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367DCD"/>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367DCD"/>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367DCD"/>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367DCD"/>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367DCD"/>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367DCD"/>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367DCD"/>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367DCD"/>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367DCD"/>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367DCD"/>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367DCD"/>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367DCD"/>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367DCD"/>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367DCD"/>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367DCD"/>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367DCD"/>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367DCD"/>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367DCD"/>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367DCD"/>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367DCD"/>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367DCD"/>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367DCD"/>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367DCD"/>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367DCD"/>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367DCD"/>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367DCD"/>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367DCD"/>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367DCD"/>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367DCD"/>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367DCD"/>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367DCD"/>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367DCD"/>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367DCD"/>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367DCD"/>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367DCD"/>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367DCD"/>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367DCD"/>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67DCD"/>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367DCD"/>
    <w:pPr>
      <w:widowControl/>
      <w:spacing w:before="480" w:after="120" w:line="360" w:lineRule="auto"/>
    </w:pPr>
    <w:rPr>
      <w:rFonts w:eastAsia="Calibri"/>
      <w:szCs w:val="22"/>
      <w:lang w:eastAsia="en-US"/>
    </w:rPr>
  </w:style>
  <w:style w:type="paragraph" w:customStyle="1" w:styleId="Considrant">
    <w:name w:val="Considérant"/>
    <w:basedOn w:val="Normal"/>
    <w:rsid w:val="00367DCD"/>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367DCD"/>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367DCD"/>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367DCD"/>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367DCD"/>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367DCD"/>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367DCD"/>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367DCD"/>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367DCD"/>
    <w:pPr>
      <w:widowControl/>
      <w:spacing w:line="360" w:lineRule="auto"/>
      <w:jc w:val="center"/>
    </w:pPr>
    <w:rPr>
      <w:rFonts w:eastAsia="Calibri"/>
      <w:b/>
      <w:szCs w:val="22"/>
      <w:lang w:eastAsia="en-US"/>
    </w:rPr>
  </w:style>
  <w:style w:type="paragraph" w:customStyle="1" w:styleId="Statut">
    <w:name w:val="Statut"/>
    <w:basedOn w:val="Normal"/>
    <w:next w:val="Typedudocument"/>
    <w:rsid w:val="00367DCD"/>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367DCD"/>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367DCD"/>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367DCD"/>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367DC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67DC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67DCD"/>
    <w:pPr>
      <w:widowControl/>
      <w:spacing w:line="360" w:lineRule="auto"/>
      <w:ind w:left="5103"/>
    </w:pPr>
    <w:rPr>
      <w:rFonts w:eastAsia="Calibri"/>
      <w:szCs w:val="22"/>
      <w:lang w:eastAsia="en-US"/>
    </w:rPr>
  </w:style>
  <w:style w:type="paragraph" w:customStyle="1" w:styleId="EntLogo">
    <w:name w:val="EntLogo"/>
    <w:basedOn w:val="Normal"/>
    <w:rsid w:val="00367DCD"/>
    <w:pPr>
      <w:widowControl/>
      <w:tabs>
        <w:tab w:val="right" w:pos="9639"/>
      </w:tabs>
      <w:spacing w:line="360" w:lineRule="auto"/>
    </w:pPr>
    <w:rPr>
      <w:rFonts w:eastAsia="Calibri"/>
      <w:b/>
      <w:szCs w:val="22"/>
      <w:lang w:eastAsia="en-US"/>
    </w:rPr>
  </w:style>
  <w:style w:type="paragraph" w:customStyle="1" w:styleId="EntInstit">
    <w:name w:val="EntInstit"/>
    <w:basedOn w:val="Normal"/>
    <w:rsid w:val="00367DCD"/>
    <w:pPr>
      <w:widowControl/>
      <w:jc w:val="right"/>
    </w:pPr>
    <w:rPr>
      <w:rFonts w:eastAsia="Calibri"/>
      <w:b/>
      <w:szCs w:val="22"/>
      <w:lang w:eastAsia="en-US"/>
    </w:rPr>
  </w:style>
  <w:style w:type="paragraph" w:customStyle="1" w:styleId="EntRefer">
    <w:name w:val="EntRefer"/>
    <w:basedOn w:val="Normal"/>
    <w:rsid w:val="00367DCD"/>
    <w:pPr>
      <w:widowControl/>
    </w:pPr>
    <w:rPr>
      <w:rFonts w:eastAsia="Calibri"/>
      <w:b/>
      <w:szCs w:val="22"/>
      <w:lang w:eastAsia="en-US"/>
    </w:rPr>
  </w:style>
  <w:style w:type="paragraph" w:customStyle="1" w:styleId="EntEmet">
    <w:name w:val="EntEmet"/>
    <w:basedOn w:val="Normal"/>
    <w:rsid w:val="00367DCD"/>
    <w:pPr>
      <w:widowControl/>
      <w:spacing w:before="40"/>
    </w:pPr>
    <w:rPr>
      <w:rFonts w:eastAsia="Calibri"/>
      <w:szCs w:val="22"/>
      <w:lang w:eastAsia="en-US"/>
    </w:rPr>
  </w:style>
  <w:style w:type="paragraph" w:customStyle="1" w:styleId="EntText">
    <w:name w:val="EntText"/>
    <w:basedOn w:val="Normal"/>
    <w:rsid w:val="00367DCD"/>
    <w:pPr>
      <w:widowControl/>
      <w:spacing w:before="120" w:after="120" w:line="360" w:lineRule="auto"/>
    </w:pPr>
    <w:rPr>
      <w:rFonts w:eastAsia="Calibri"/>
      <w:szCs w:val="22"/>
      <w:lang w:eastAsia="en-US"/>
    </w:rPr>
  </w:style>
  <w:style w:type="paragraph" w:customStyle="1" w:styleId="EntEU">
    <w:name w:val="EntEU"/>
    <w:basedOn w:val="Normal"/>
    <w:rsid w:val="00367DCD"/>
    <w:pPr>
      <w:widowControl/>
      <w:spacing w:before="240" w:after="240"/>
      <w:jc w:val="center"/>
    </w:pPr>
    <w:rPr>
      <w:rFonts w:eastAsia="Calibri"/>
      <w:b/>
      <w:sz w:val="36"/>
      <w:szCs w:val="22"/>
      <w:lang w:eastAsia="en-US"/>
    </w:rPr>
  </w:style>
  <w:style w:type="paragraph" w:customStyle="1" w:styleId="EntASSOC">
    <w:name w:val="EntASSOC"/>
    <w:basedOn w:val="Normal"/>
    <w:rsid w:val="00367DCD"/>
    <w:pPr>
      <w:widowControl/>
      <w:jc w:val="center"/>
    </w:pPr>
    <w:rPr>
      <w:rFonts w:eastAsia="Calibri"/>
      <w:b/>
      <w:szCs w:val="22"/>
      <w:lang w:eastAsia="en-US"/>
    </w:rPr>
  </w:style>
  <w:style w:type="paragraph" w:customStyle="1" w:styleId="EntACP">
    <w:name w:val="EntACP"/>
    <w:basedOn w:val="Normal"/>
    <w:rsid w:val="00367DCD"/>
    <w:pPr>
      <w:widowControl/>
      <w:spacing w:after="180"/>
      <w:jc w:val="center"/>
    </w:pPr>
    <w:rPr>
      <w:rFonts w:eastAsia="Calibri"/>
      <w:b/>
      <w:spacing w:val="40"/>
      <w:sz w:val="28"/>
      <w:szCs w:val="22"/>
      <w:lang w:eastAsia="en-US"/>
    </w:rPr>
  </w:style>
  <w:style w:type="paragraph" w:customStyle="1" w:styleId="EntInstitACP">
    <w:name w:val="EntInstitACP"/>
    <w:basedOn w:val="Normal"/>
    <w:rsid w:val="00367DCD"/>
    <w:pPr>
      <w:widowControl/>
      <w:jc w:val="center"/>
    </w:pPr>
    <w:rPr>
      <w:rFonts w:eastAsia="Calibri"/>
      <w:b/>
      <w:szCs w:val="22"/>
      <w:lang w:eastAsia="en-US"/>
    </w:rPr>
  </w:style>
  <w:style w:type="paragraph" w:customStyle="1" w:styleId="Genredudocument">
    <w:name w:val="Genre du document"/>
    <w:basedOn w:val="EntRefer"/>
    <w:next w:val="EntRefer"/>
    <w:rsid w:val="00367DCD"/>
    <w:pPr>
      <w:spacing w:before="240"/>
    </w:pPr>
  </w:style>
  <w:style w:type="paragraph" w:customStyle="1" w:styleId="Accordtitre">
    <w:name w:val="Accord titre"/>
    <w:basedOn w:val="Normal"/>
    <w:rsid w:val="00367DCD"/>
    <w:pPr>
      <w:widowControl/>
      <w:spacing w:line="360" w:lineRule="auto"/>
      <w:jc w:val="center"/>
    </w:pPr>
    <w:rPr>
      <w:rFonts w:eastAsia="Calibri"/>
      <w:szCs w:val="22"/>
      <w:lang w:eastAsia="en-US"/>
    </w:rPr>
  </w:style>
  <w:style w:type="paragraph" w:customStyle="1" w:styleId="FooterAccord">
    <w:name w:val="Footer Accord"/>
    <w:basedOn w:val="Normal"/>
    <w:rsid w:val="00367DCD"/>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67DCD"/>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67DCD"/>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367DCD"/>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367DCD"/>
    <w:pPr>
      <w:spacing w:after="240"/>
    </w:pPr>
  </w:style>
  <w:style w:type="paragraph" w:customStyle="1" w:styleId="Annexetitre">
    <w:name w:val="Annexe titre"/>
    <w:basedOn w:val="Normal"/>
    <w:next w:val="Normal"/>
    <w:rsid w:val="00367DCD"/>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367DCD"/>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367DCD"/>
    <w:pPr>
      <w:widowControl/>
    </w:pPr>
    <w:rPr>
      <w:sz w:val="20"/>
      <w:lang w:val="en-GB"/>
    </w:rPr>
  </w:style>
  <w:style w:type="character" w:customStyle="1" w:styleId="EndnoteTextChar">
    <w:name w:val="Endnote Text Char"/>
    <w:basedOn w:val="DefaultParagraphFont"/>
    <w:link w:val="EndnoteText1"/>
    <w:uiPriority w:val="99"/>
    <w:semiHidden/>
    <w:rsid w:val="00367DCD"/>
  </w:style>
  <w:style w:type="character" w:styleId="EndnoteReference">
    <w:name w:val="endnote reference"/>
    <w:basedOn w:val="DefaultParagraphFont"/>
    <w:uiPriority w:val="99"/>
    <w:unhideWhenUsed/>
    <w:rsid w:val="00367DCD"/>
    <w:rPr>
      <w:bdr w:val="none" w:sz="0" w:space="0" w:color="auto"/>
      <w:shd w:val="clear" w:color="auto" w:fill="auto"/>
      <w:vertAlign w:val="superscript"/>
    </w:rPr>
  </w:style>
  <w:style w:type="paragraph" w:customStyle="1" w:styleId="Division1">
    <w:name w:val="Division 1"/>
    <w:basedOn w:val="Normal"/>
    <w:next w:val="Normal"/>
    <w:rsid w:val="00367DCD"/>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67DCD"/>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67DCD"/>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67DCD"/>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67DCD"/>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67DCD"/>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67DCD"/>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67DCD"/>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67DCD"/>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67DCD"/>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67DCD"/>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67DCD"/>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67DCD"/>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67DCD"/>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67DCD"/>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67DCD"/>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67DCD"/>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67DCD"/>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67DCD"/>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67DCD"/>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67DCD"/>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67DCD"/>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67DCD"/>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67DCD"/>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67DCD"/>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67DCD"/>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67DCD"/>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367DC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67DCD"/>
    <w:pPr>
      <w:pBdr>
        <w:top w:val="none" w:sz="0" w:space="0" w:color="auto"/>
        <w:left w:val="single" w:sz="4" w:space="20" w:color="auto"/>
      </w:pBdr>
    </w:pPr>
  </w:style>
  <w:style w:type="paragraph" w:customStyle="1" w:styleId="CommentText1">
    <w:name w:val="Comment Text1"/>
    <w:basedOn w:val="Normal"/>
    <w:next w:val="CommentText"/>
    <w:link w:val="CommentTextChar"/>
    <w:uiPriority w:val="99"/>
    <w:unhideWhenUsed/>
    <w:rsid w:val="00367DCD"/>
    <w:pPr>
      <w:widowControl/>
      <w:spacing w:before="120" w:after="120"/>
    </w:pPr>
    <w:rPr>
      <w:sz w:val="20"/>
      <w:lang w:val="en-GB"/>
    </w:rPr>
  </w:style>
  <w:style w:type="character" w:customStyle="1" w:styleId="CommentTextChar">
    <w:name w:val="Comment Text Char"/>
    <w:basedOn w:val="DefaultParagraphFont"/>
    <w:link w:val="CommentText1"/>
    <w:uiPriority w:val="99"/>
    <w:rsid w:val="00367DCD"/>
  </w:style>
  <w:style w:type="character" w:styleId="CommentReference">
    <w:name w:val="annotation reference"/>
    <w:basedOn w:val="DefaultParagraphFont"/>
    <w:uiPriority w:val="99"/>
    <w:unhideWhenUsed/>
    <w:rsid w:val="00367DCD"/>
    <w:rPr>
      <w:sz w:val="16"/>
      <w:szCs w:val="16"/>
    </w:rPr>
  </w:style>
  <w:style w:type="paragraph" w:customStyle="1" w:styleId="Revision1">
    <w:name w:val="Revision1"/>
    <w:next w:val="Revision"/>
    <w:hidden/>
    <w:uiPriority w:val="99"/>
    <w:semiHidden/>
    <w:rsid w:val="00367DCD"/>
    <w:rPr>
      <w:rFonts w:eastAsia="Calibri"/>
      <w:sz w:val="24"/>
      <w:szCs w:val="22"/>
      <w:lang w:val="lv-LV" w:eastAsia="en-US"/>
    </w:rPr>
  </w:style>
  <w:style w:type="character" w:customStyle="1" w:styleId="Hyperlink1">
    <w:name w:val="Hyperlink1"/>
    <w:basedOn w:val="DefaultParagraphFont"/>
    <w:uiPriority w:val="99"/>
    <w:unhideWhenUsed/>
    <w:rsid w:val="00367DCD"/>
    <w:rPr>
      <w:color w:val="0563C1"/>
      <w:u w:val="single"/>
    </w:rPr>
  </w:style>
  <w:style w:type="character" w:styleId="UnresolvedMention">
    <w:name w:val="Unresolved Mention"/>
    <w:basedOn w:val="DefaultParagraphFont"/>
    <w:uiPriority w:val="99"/>
    <w:semiHidden/>
    <w:unhideWhenUsed/>
    <w:rsid w:val="00367DCD"/>
    <w:rPr>
      <w:color w:val="605E5C"/>
      <w:shd w:val="clear" w:color="auto" w:fill="E1DFDD"/>
    </w:rPr>
  </w:style>
  <w:style w:type="paragraph" w:customStyle="1" w:styleId="CommentSubject1">
    <w:name w:val="Comment Subject1"/>
    <w:basedOn w:val="CommentText"/>
    <w:next w:val="CommentText"/>
    <w:uiPriority w:val="99"/>
    <w:semiHidden/>
    <w:unhideWhenUsed/>
    <w:rsid w:val="00367DCD"/>
    <w:pPr>
      <w:widowControl/>
      <w:spacing w:before="120" w:after="120"/>
    </w:pPr>
    <w:rPr>
      <w:rFonts w:eastAsia="Calibri"/>
      <w:b/>
      <w:bCs/>
      <w:lang w:eastAsia="en-US"/>
    </w:rPr>
  </w:style>
  <w:style w:type="character" w:customStyle="1" w:styleId="CommentSubjectChar">
    <w:name w:val="Comment Subject Char"/>
    <w:basedOn w:val="CommentTextChar"/>
    <w:link w:val="CommentSubject"/>
    <w:uiPriority w:val="99"/>
    <w:rsid w:val="00367DCD"/>
    <w:rPr>
      <w:b/>
      <w:bCs/>
    </w:rPr>
  </w:style>
  <w:style w:type="paragraph" w:styleId="EndnoteText">
    <w:name w:val="endnote text"/>
    <w:basedOn w:val="Normal"/>
    <w:link w:val="EndnoteTextChar1"/>
    <w:rsid w:val="00367DCD"/>
    <w:rPr>
      <w:sz w:val="20"/>
    </w:rPr>
  </w:style>
  <w:style w:type="character" w:customStyle="1" w:styleId="EndnoteTextChar1">
    <w:name w:val="Endnote Text Char1"/>
    <w:basedOn w:val="DefaultParagraphFont"/>
    <w:link w:val="EndnoteText"/>
    <w:rsid w:val="00367DCD"/>
    <w:rPr>
      <w:lang w:val="lv-LV"/>
    </w:rPr>
  </w:style>
  <w:style w:type="paragraph" w:styleId="CommentText">
    <w:name w:val="annotation text"/>
    <w:basedOn w:val="Normal"/>
    <w:link w:val="CommentTextChar1"/>
    <w:rsid w:val="00367DCD"/>
    <w:rPr>
      <w:sz w:val="20"/>
    </w:rPr>
  </w:style>
  <w:style w:type="character" w:customStyle="1" w:styleId="CommentTextChar1">
    <w:name w:val="Comment Text Char1"/>
    <w:basedOn w:val="DefaultParagraphFont"/>
    <w:link w:val="CommentText"/>
    <w:rsid w:val="00367DCD"/>
    <w:rPr>
      <w:lang w:val="lv-LV"/>
    </w:rPr>
  </w:style>
  <w:style w:type="paragraph" w:styleId="CommentSubject">
    <w:name w:val="annotation subject"/>
    <w:basedOn w:val="CommentText"/>
    <w:next w:val="CommentText"/>
    <w:link w:val="CommentSubjectChar"/>
    <w:uiPriority w:val="99"/>
    <w:rsid w:val="00367DCD"/>
    <w:rPr>
      <w:b/>
      <w:bCs/>
      <w:lang w:val="en-GB"/>
    </w:rPr>
  </w:style>
  <w:style w:type="character" w:customStyle="1" w:styleId="CommentSubjectChar1">
    <w:name w:val="Comment Subject Char1"/>
    <w:basedOn w:val="CommentTextChar1"/>
    <w:rsid w:val="00367DCD"/>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5/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2026-04-14T14:10:00Z</dcterms:created>
  <dcterms:modified xsi:type="dcterms:W3CDTF">2026-04-14T14:10:00Z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P10_TA(2026)0029_</vt:lpwstr>
  </property>
  <property fmtid="{D5CDD505-2E9C-101B-9397-08002B2CF9AE}" pid="4" name="&lt;Type&gt;">
    <vt:lpwstr>RR</vt:lpwstr>
  </property>
</Properties>
</file>