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5B82" w14:paraId="5F7367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6E3405" w14:textId="77777777" w:rsidR="00751A4A" w:rsidRPr="00A95B82" w:rsidRDefault="009D57C3" w:rsidP="0010095E">
            <w:pPr>
              <w:pStyle w:val="EPName"/>
            </w:pPr>
            <w:r w:rsidRPr="00A95B82">
              <w:t>Parlament Ewropew</w:t>
            </w:r>
          </w:p>
          <w:p w14:paraId="26CE60E3" w14:textId="77777777" w:rsidR="00751A4A" w:rsidRPr="00A95B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5B82">
              <w:t>2024</w:t>
            </w:r>
            <w:r w:rsidR="00817416" w:rsidRPr="00A95B82">
              <w:t>-202</w:t>
            </w:r>
            <w:r w:rsidRPr="00A95B82">
              <w:t>9</w:t>
            </w:r>
          </w:p>
        </w:tc>
        <w:tc>
          <w:tcPr>
            <w:tcW w:w="2268" w:type="dxa"/>
            <w:shd w:val="clear" w:color="auto" w:fill="auto"/>
          </w:tcPr>
          <w:p w14:paraId="5667995D" w14:textId="77777777" w:rsidR="00751A4A" w:rsidRPr="00A95B82" w:rsidRDefault="00187494" w:rsidP="0010095E">
            <w:pPr>
              <w:pStyle w:val="EPLogo"/>
            </w:pPr>
            <w:r w:rsidRPr="00A95B82">
              <w:rPr>
                <w:noProof/>
                <w:lang w:eastAsia="ja-JP"/>
              </w:rPr>
              <w:drawing>
                <wp:inline distT="0" distB="0" distL="0" distR="0" wp14:anchorId="7B3C970A" wp14:editId="5E7B41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0A204" w14:textId="77777777" w:rsidR="00D058B8" w:rsidRPr="00A95B82" w:rsidRDefault="00D058B8" w:rsidP="004C5D52">
      <w:pPr>
        <w:pStyle w:val="LineTop"/>
      </w:pPr>
    </w:p>
    <w:p w14:paraId="3B346F29" w14:textId="77777777" w:rsidR="00680577" w:rsidRPr="00A95B82" w:rsidRDefault="009D57C3" w:rsidP="00680577">
      <w:pPr>
        <w:pStyle w:val="EPBodyTA1"/>
      </w:pPr>
      <w:r w:rsidRPr="00A95B82">
        <w:t>TESTI ADOTTATI</w:t>
      </w:r>
    </w:p>
    <w:p w14:paraId="65994D76" w14:textId="77777777" w:rsidR="00D058B8" w:rsidRPr="00A95B82" w:rsidRDefault="00D058B8" w:rsidP="00D058B8">
      <w:pPr>
        <w:pStyle w:val="LineBottom"/>
      </w:pPr>
    </w:p>
    <w:p w14:paraId="453D9257" w14:textId="1020E0A1" w:rsidR="009D57C3" w:rsidRPr="00A95B82" w:rsidRDefault="009D57C3" w:rsidP="009D57C3">
      <w:pPr>
        <w:pStyle w:val="ATHeading1"/>
      </w:pPr>
      <w:bookmarkStart w:id="0" w:name="TANumber"/>
      <w:r w:rsidRPr="00A95B82">
        <w:t>P10_TA(2026)00</w:t>
      </w:r>
      <w:r w:rsidR="00DD2FD3">
        <w:t>29</w:t>
      </w:r>
      <w:bookmarkEnd w:id="0"/>
    </w:p>
    <w:p w14:paraId="6623F1B7" w14:textId="77777777" w:rsidR="009D57C3" w:rsidRPr="00A95B82" w:rsidRDefault="009D57C3" w:rsidP="009D57C3">
      <w:pPr>
        <w:pStyle w:val="ATHeading2"/>
      </w:pPr>
      <w:bookmarkStart w:id="1" w:name="title"/>
      <w:r w:rsidRPr="00A95B82">
        <w:t>Emenda tad-Direttiva dwar l-Istrumenti tal-Kejl</w:t>
      </w:r>
      <w:bookmarkEnd w:id="1"/>
    </w:p>
    <w:p w14:paraId="0BFCD8B8" w14:textId="77777777" w:rsidR="009D57C3" w:rsidRPr="00A95B82" w:rsidRDefault="009D57C3" w:rsidP="009D57C3">
      <w:pPr>
        <w:rPr>
          <w:i/>
          <w:vanish/>
        </w:rPr>
      </w:pPr>
      <w:r w:rsidRPr="00A95B82">
        <w:rPr>
          <w:i/>
        </w:rPr>
        <w:fldChar w:fldCharType="begin"/>
      </w:r>
      <w:r w:rsidRPr="00A95B82">
        <w:rPr>
          <w:i/>
        </w:rPr>
        <w:instrText xml:space="preserve"> TC"(</w:instrText>
      </w:r>
      <w:bookmarkStart w:id="2" w:name="DocNumber"/>
      <w:r w:rsidRPr="00A95B82">
        <w:rPr>
          <w:i/>
        </w:rPr>
        <w:instrText>A10-0173/2025</w:instrText>
      </w:r>
      <w:bookmarkEnd w:id="2"/>
      <w:r w:rsidRPr="00A95B82">
        <w:rPr>
          <w:i/>
        </w:rPr>
        <w:instrText xml:space="preserve"> - Rapporteur: Zala Tomašič)"\l3 \n&gt; \* MERGEFORMAT </w:instrText>
      </w:r>
      <w:r w:rsidRPr="00A95B82">
        <w:rPr>
          <w:i/>
        </w:rPr>
        <w:fldChar w:fldCharType="end"/>
      </w:r>
    </w:p>
    <w:p w14:paraId="7E12B925" w14:textId="77777777" w:rsidR="009D57C3" w:rsidRPr="00A95B82" w:rsidRDefault="009D57C3" w:rsidP="009D57C3">
      <w:pPr>
        <w:rPr>
          <w:vanish/>
        </w:rPr>
      </w:pPr>
      <w:bookmarkStart w:id="3" w:name="Commission"/>
      <w:r w:rsidRPr="00A95B82">
        <w:rPr>
          <w:vanish/>
        </w:rPr>
        <w:t>Kumitat għas-Suq Intern u l-Ħarsien tal-Konsumatur</w:t>
      </w:r>
      <w:bookmarkEnd w:id="3"/>
    </w:p>
    <w:p w14:paraId="2F55CA63" w14:textId="77777777" w:rsidR="009D57C3" w:rsidRPr="00A95B82" w:rsidRDefault="009D57C3" w:rsidP="009D57C3">
      <w:pPr>
        <w:rPr>
          <w:vanish/>
        </w:rPr>
      </w:pPr>
      <w:bookmarkStart w:id="4" w:name="PE"/>
      <w:r w:rsidRPr="00A95B82">
        <w:rPr>
          <w:vanish/>
        </w:rPr>
        <w:t>PE773.060</w:t>
      </w:r>
      <w:bookmarkEnd w:id="4"/>
    </w:p>
    <w:p w14:paraId="0941FAE1" w14:textId="517AA36A" w:rsidR="009D57C3" w:rsidRPr="00A95B82" w:rsidRDefault="009D57C3" w:rsidP="009D57C3">
      <w:pPr>
        <w:pStyle w:val="ATHeading3"/>
      </w:pPr>
      <w:bookmarkStart w:id="5" w:name="Sujet"/>
      <w:r w:rsidRPr="00A95B82">
        <w:t xml:space="preserve">Riżoluzzjoni </w:t>
      </w:r>
      <w:proofErr w:type="spellStart"/>
      <w:r w:rsidRPr="00A95B82">
        <w:t>leġiżlattiva</w:t>
      </w:r>
      <w:proofErr w:type="spellEnd"/>
      <w:r w:rsidRPr="00A95B82">
        <w:t xml:space="preserve"> tal-Parlament Ewropew </w:t>
      </w:r>
      <w:r w:rsidR="000323EC">
        <w:t>ta</w:t>
      </w:r>
      <w:r w:rsidR="00BB2E10">
        <w:t>l</w:t>
      </w:r>
      <w:r w:rsidR="000323EC">
        <w:t>-</w:t>
      </w:r>
      <w:r w:rsidR="00BB2E10">
        <w:t>10</w:t>
      </w:r>
      <w:r w:rsidR="000323EC">
        <w:t xml:space="preserve"> ta’ Frar</w:t>
      </w:r>
      <w:r w:rsidRPr="00A95B82">
        <w:t xml:space="preserve"> 2026 dwar proposta għal direttiva tal-Parlament Ewropew u tal-Kunsill li temenda d-Direttiva 2014/32/UE fir-rigward ta’ tagħmir tal-provvista tal-vetturi elettriċi, distributuri tal-gass </w:t>
      </w:r>
      <w:proofErr w:type="spellStart"/>
      <w:r w:rsidRPr="00A95B82">
        <w:t>ikkumpressat</w:t>
      </w:r>
      <w:proofErr w:type="spellEnd"/>
      <w:r w:rsidRPr="00A95B82">
        <w:t>, u arloġġi tal-elettriku, tal-gass u tal-enerġija termali</w:t>
      </w:r>
      <w:bookmarkEnd w:id="5"/>
      <w:r w:rsidRPr="00A95B82">
        <w:t xml:space="preserve"> </w:t>
      </w:r>
      <w:bookmarkStart w:id="6" w:name="References"/>
      <w:r w:rsidRPr="00A95B82">
        <w:t>(COM(2024)0561 – C10-0205/2024 – 2024/0311(COD))</w:t>
      </w:r>
      <w:bookmarkEnd w:id="6"/>
    </w:p>
    <w:p w14:paraId="0A958779" w14:textId="77777777" w:rsidR="00970926" w:rsidRPr="00A95B82" w:rsidRDefault="00970926" w:rsidP="00970926">
      <w:pPr>
        <w:pStyle w:val="NormalBold"/>
      </w:pPr>
      <w:r w:rsidRPr="00A95B82">
        <w:t xml:space="preserve">(Proċedura </w:t>
      </w:r>
      <w:proofErr w:type="spellStart"/>
      <w:r w:rsidRPr="00A95B82">
        <w:t>leġiżlattiva</w:t>
      </w:r>
      <w:proofErr w:type="spellEnd"/>
      <w:r w:rsidRPr="00A95B82">
        <w:t xml:space="preserve"> ordinarja: l-ewwel qari)</w:t>
      </w:r>
    </w:p>
    <w:p w14:paraId="257AD499" w14:textId="77777777" w:rsidR="00970926" w:rsidRPr="00A95B82" w:rsidRDefault="00970926" w:rsidP="00970926">
      <w:pPr>
        <w:pStyle w:val="EPComma"/>
      </w:pPr>
      <w:r w:rsidRPr="00A95B82">
        <w:rPr>
          <w:i/>
        </w:rPr>
        <w:t>Il-Parlament Ewropew</w:t>
      </w:r>
      <w:r w:rsidRPr="00A95B82">
        <w:t>,</w:t>
      </w:r>
    </w:p>
    <w:p w14:paraId="743AA86D" w14:textId="77777777" w:rsidR="00970926" w:rsidRPr="00A95B82" w:rsidRDefault="00970926" w:rsidP="00970926">
      <w:pPr>
        <w:pStyle w:val="NormalHanging12a"/>
      </w:pPr>
      <w:r w:rsidRPr="00A95B82">
        <w:t>–</w:t>
      </w:r>
      <w:r w:rsidRPr="00A95B82">
        <w:tab/>
        <w:t xml:space="preserve">wara li </w:t>
      </w:r>
      <w:proofErr w:type="spellStart"/>
      <w:r w:rsidRPr="00A95B82">
        <w:t>kkunsidra</w:t>
      </w:r>
      <w:proofErr w:type="spellEnd"/>
      <w:r w:rsidRPr="00A95B82">
        <w:t xml:space="preserve"> l-proposta tal-Kummissjoni lill-Parlament Ewropew u lill-Kunsill (COM(2024)0561),</w:t>
      </w:r>
    </w:p>
    <w:p w14:paraId="095C5C4E" w14:textId="77777777" w:rsidR="00970926" w:rsidRPr="00A95B82" w:rsidRDefault="00970926" w:rsidP="00970926">
      <w:pPr>
        <w:pStyle w:val="NormalHanging12a"/>
      </w:pPr>
      <w:r w:rsidRPr="00A95B82">
        <w:t>–</w:t>
      </w:r>
      <w:r w:rsidRPr="00A95B82">
        <w:tab/>
        <w:t xml:space="preserve">wara li </w:t>
      </w:r>
      <w:proofErr w:type="spellStart"/>
      <w:r w:rsidRPr="00A95B82">
        <w:t>kkunsidra</w:t>
      </w:r>
      <w:proofErr w:type="spellEnd"/>
      <w:r w:rsidRPr="00A95B82">
        <w:t xml:space="preserve"> l-Artikolu 294(2) u l-Artikolu 114 tat-Trattat dwar il-Funzjonament tal-Unjoni Ewropea, skont liema artikoli l-Kummissjoni ppreżentat il-proposta lill-Parlament (C10</w:t>
      </w:r>
      <w:r w:rsidRPr="00A95B82">
        <w:noBreakHyphen/>
        <w:t>0205/2024),</w:t>
      </w:r>
    </w:p>
    <w:p w14:paraId="374DD5CF" w14:textId="77777777" w:rsidR="00970926" w:rsidRPr="00A95B82" w:rsidRDefault="00970926" w:rsidP="00970926">
      <w:pPr>
        <w:pStyle w:val="NormalHanging12a"/>
      </w:pPr>
      <w:r w:rsidRPr="00A95B82">
        <w:t>–</w:t>
      </w:r>
      <w:r w:rsidRPr="00A95B82">
        <w:tab/>
        <w:t xml:space="preserve">wara li </w:t>
      </w:r>
      <w:proofErr w:type="spellStart"/>
      <w:r w:rsidRPr="00A95B82">
        <w:t>kkunsidra</w:t>
      </w:r>
      <w:proofErr w:type="spellEnd"/>
      <w:r w:rsidRPr="00A95B82">
        <w:t xml:space="preserve"> l-Artikolu 294(3) tat-Trattat dwar il-Funzjonament tal-Unjoni Ewropea,</w:t>
      </w:r>
    </w:p>
    <w:p w14:paraId="468A5E70" w14:textId="77777777" w:rsidR="00970926" w:rsidRDefault="00970926" w:rsidP="00970926">
      <w:pPr>
        <w:pStyle w:val="NormalHanging12a"/>
      </w:pPr>
      <w:r w:rsidRPr="00A95B82">
        <w:t>–</w:t>
      </w:r>
      <w:r w:rsidRPr="00A95B82">
        <w:tab/>
        <w:t xml:space="preserve">wara li </w:t>
      </w:r>
      <w:proofErr w:type="spellStart"/>
      <w:r w:rsidRPr="00A95B82">
        <w:t>kkunsidra</w:t>
      </w:r>
      <w:proofErr w:type="spellEnd"/>
      <w:r w:rsidRPr="00A95B82">
        <w:t xml:space="preserve"> l-opinjoni tal-Kumitat Ekonomiku u Soċjali Ewropew tat-22 ta’ Jannar 2025</w:t>
      </w:r>
      <w:r w:rsidRPr="00A95B82">
        <w:rPr>
          <w:rStyle w:val="FootnoteReference"/>
        </w:rPr>
        <w:footnoteReference w:id="1"/>
      </w:r>
      <w:r w:rsidRPr="00A95B82">
        <w:t>,</w:t>
      </w:r>
    </w:p>
    <w:p w14:paraId="0720EE22" w14:textId="583CE4D5" w:rsidR="00BB2E10" w:rsidRPr="00A95B82" w:rsidRDefault="00BB2E10" w:rsidP="00970926">
      <w:pPr>
        <w:pStyle w:val="NormalHanging12a"/>
      </w:pPr>
      <w:r w:rsidRPr="00BB2E10">
        <w:t>–</w:t>
      </w:r>
      <w:r w:rsidRPr="00BB2E10">
        <w:tab/>
        <w:t xml:space="preserve">wara li </w:t>
      </w:r>
      <w:proofErr w:type="spellStart"/>
      <w:r w:rsidRPr="00BB2E10">
        <w:t>kkunsidra</w:t>
      </w:r>
      <w:proofErr w:type="spellEnd"/>
      <w:r w:rsidRPr="00BB2E10">
        <w:t xml:space="preserve"> l-ftehim proviżorju approvat </w:t>
      </w:r>
      <w:r w:rsidRPr="00382C16">
        <w:t xml:space="preserve">mill-kumitat responsabbli fis-sens tal-Artikolu 75(4) tar-Regoli ta' Proċedura tiegħu u l-impenn meħud mir-rappreżentant tal-Kunsill, permezz tal-ittra </w:t>
      </w:r>
      <w:r w:rsidR="00F026A9" w:rsidRPr="000137E5">
        <w:t>tas-26 ta’ Novembru 2025</w:t>
      </w:r>
      <w:r w:rsidRPr="000137E5">
        <w:t>,</w:t>
      </w:r>
      <w:r w:rsidRPr="00382C16">
        <w:t xml:space="preserve"> li</w:t>
      </w:r>
      <w:r w:rsidRPr="00BB2E10">
        <w:t xml:space="preserve"> japprova l-pożizzjoni tal-Parlament</w:t>
      </w:r>
      <w:r w:rsidR="00863D7D">
        <w:t xml:space="preserve"> Ewropew</w:t>
      </w:r>
      <w:r w:rsidRPr="00BB2E10">
        <w:t>, skont l-Artikolu 294(4) tat-Trattat dwar il-Funzjonament tal-Unjoni Ewropea,</w:t>
      </w:r>
    </w:p>
    <w:p w14:paraId="4555DAE2" w14:textId="77777777" w:rsidR="00970926" w:rsidRPr="00A95B82" w:rsidRDefault="00970926" w:rsidP="00970926">
      <w:pPr>
        <w:pStyle w:val="NormalHanging12a"/>
      </w:pPr>
      <w:r w:rsidRPr="00A95B82">
        <w:t>–</w:t>
      </w:r>
      <w:r w:rsidRPr="00A95B82">
        <w:tab/>
        <w:t xml:space="preserve">wara li </w:t>
      </w:r>
      <w:proofErr w:type="spellStart"/>
      <w:r w:rsidRPr="00A95B82">
        <w:t>kkunsidra</w:t>
      </w:r>
      <w:proofErr w:type="spellEnd"/>
      <w:r w:rsidRPr="00A95B82">
        <w:t xml:space="preserve"> l-Artikolu 60 tar-Regoli ta’ Proċedura tiegħu,</w:t>
      </w:r>
    </w:p>
    <w:p w14:paraId="09BAF509" w14:textId="77777777" w:rsidR="00970926" w:rsidRPr="00A95B82" w:rsidRDefault="00970926" w:rsidP="00970926">
      <w:pPr>
        <w:pStyle w:val="NormalHanging12a"/>
      </w:pPr>
      <w:r w:rsidRPr="00A95B82">
        <w:t>–</w:t>
      </w:r>
      <w:r w:rsidRPr="00A95B82">
        <w:tab/>
        <w:t xml:space="preserve">wara li </w:t>
      </w:r>
      <w:proofErr w:type="spellStart"/>
      <w:r w:rsidRPr="00A95B82">
        <w:t>kkunsidra</w:t>
      </w:r>
      <w:proofErr w:type="spellEnd"/>
      <w:r w:rsidRPr="00A95B82">
        <w:t xml:space="preserve"> r-rapport tal-Kumitat għas-Suq Intern u l-Ħarsien tal-Konsumatur (A10-0173/2025),</w:t>
      </w:r>
    </w:p>
    <w:p w14:paraId="64570115" w14:textId="77777777" w:rsidR="00970926" w:rsidRPr="00A95B82" w:rsidRDefault="00970926" w:rsidP="00970926">
      <w:pPr>
        <w:pStyle w:val="NormalHanging12a"/>
      </w:pPr>
      <w:r w:rsidRPr="00A95B82">
        <w:t>1.</w:t>
      </w:r>
      <w:r w:rsidRPr="00A95B82">
        <w:tab/>
        <w:t>Jadotta l-pożizzjoni fl-ewwel qari li tidher hawn taħt;</w:t>
      </w:r>
    </w:p>
    <w:p w14:paraId="78D15FE9" w14:textId="77777777" w:rsidR="00970926" w:rsidRPr="00A95B82" w:rsidRDefault="00970926" w:rsidP="00970926">
      <w:pPr>
        <w:pStyle w:val="NormalHanging12a"/>
      </w:pPr>
      <w:r w:rsidRPr="00A95B82">
        <w:t>2.</w:t>
      </w:r>
      <w:r w:rsidRPr="00A95B82">
        <w:tab/>
        <w:t xml:space="preserve">Jitlob lill-Kummissjoni </w:t>
      </w:r>
      <w:proofErr w:type="spellStart"/>
      <w:r w:rsidRPr="00A95B82">
        <w:t>terġa</w:t>
      </w:r>
      <w:proofErr w:type="spellEnd"/>
      <w:r w:rsidRPr="00A95B82">
        <w:t xml:space="preserve">’ tirreferi l-kwistjoni lill-Parlament jekk tibdel il-proposta tagħha, </w:t>
      </w:r>
      <w:proofErr w:type="spellStart"/>
      <w:r w:rsidRPr="00A95B82">
        <w:t>temendaha</w:t>
      </w:r>
      <w:proofErr w:type="spellEnd"/>
      <w:r w:rsidRPr="00A95B82">
        <w:t xml:space="preserve"> b’mod sustanzjali jew ikollha l-ħsieb li </w:t>
      </w:r>
      <w:proofErr w:type="spellStart"/>
      <w:r w:rsidRPr="00A95B82">
        <w:t>temendaha</w:t>
      </w:r>
      <w:proofErr w:type="spellEnd"/>
      <w:r w:rsidRPr="00A95B82">
        <w:t xml:space="preserve"> b’mod sustanzjali;</w:t>
      </w:r>
    </w:p>
    <w:p w14:paraId="13597352" w14:textId="77777777" w:rsidR="00970926" w:rsidRPr="00A95B82" w:rsidRDefault="00970926" w:rsidP="00970926">
      <w:pPr>
        <w:pStyle w:val="NormalHanging12a"/>
      </w:pPr>
      <w:r w:rsidRPr="00A95B82">
        <w:t>3.</w:t>
      </w:r>
      <w:r w:rsidRPr="00A95B82">
        <w:tab/>
        <w:t xml:space="preserve">Jagħti istruzzjonijiet lill-President tiegħu biex tgħaddi l-pożizzjoni tal-Parlament lill-Kunsill u </w:t>
      </w:r>
      <w:r w:rsidRPr="00A95B82">
        <w:lastRenderedPageBreak/>
        <w:t>lill-Kummissjoni kif ukoll lill-parlamenti nazzjonali.</w:t>
      </w:r>
    </w:p>
    <w:p w14:paraId="09A379F7" w14:textId="77777777" w:rsidR="00593850" w:rsidRPr="00593850" w:rsidRDefault="00970926" w:rsidP="0059385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95B82">
        <w:br w:type="page"/>
      </w:r>
      <w:r w:rsidR="00503B34" w:rsidRPr="00593850">
        <w:rPr>
          <w:b/>
          <w:bCs/>
          <w:color w:val="000000"/>
        </w:rPr>
        <w:lastRenderedPageBreak/>
        <w:t>P10_TC1-COD(2024)0311</w:t>
      </w:r>
    </w:p>
    <w:p w14:paraId="470FE11B" w14:textId="068A2C14" w:rsidR="00593850" w:rsidRDefault="00593850" w:rsidP="00593850">
      <w:pPr>
        <w:autoSpaceDE w:val="0"/>
        <w:autoSpaceDN w:val="0"/>
        <w:adjustRightInd w:val="0"/>
        <w:spacing w:after="240"/>
        <w:rPr>
          <w:rFonts w:eastAsia="Calibri"/>
          <w:b/>
          <w:color w:val="000000"/>
          <w:szCs w:val="22"/>
          <w:lang w:eastAsia="en-US"/>
        </w:rPr>
      </w:pPr>
      <w:r w:rsidRPr="00593850">
        <w:rPr>
          <w:b/>
          <w:bCs/>
        </w:rPr>
        <w:t>Pożizzjoni tal-Parlament Ewropew adottata fl-ewwel qari fl-10 ta' Frar 2026 bil-ħsieb tal-adozzjoni tad-Direttiva (UE) 2026/… tal-Parlament Ewropew u tal-Kunsill</w:t>
      </w:r>
      <w:r w:rsidR="00503B34" w:rsidRPr="00593850">
        <w:rPr>
          <w:b/>
          <w:bCs/>
        </w:rPr>
        <w:t xml:space="preserve"> </w:t>
      </w:r>
      <w:bookmarkStart w:id="7" w:name="_DV_M1"/>
      <w:bookmarkStart w:id="8" w:name="_DV_M2"/>
      <w:bookmarkEnd w:id="7"/>
      <w:bookmarkEnd w:id="8"/>
      <w:r w:rsidRPr="00593850">
        <w:rPr>
          <w:rFonts w:eastAsia="Calibri"/>
          <w:b/>
          <w:color w:val="000000"/>
          <w:szCs w:val="22"/>
          <w:lang w:eastAsia="en-US"/>
        </w:rPr>
        <w:t xml:space="preserve">li temenda d-Direttiva 2014/32/UE fir-rigward tas-sistemi tal-kejl għal tagħmir tal-provvista tal-vetturi elettriċi, distributuri tal-gass </w:t>
      </w:r>
      <w:proofErr w:type="spellStart"/>
      <w:r w:rsidRPr="00593850">
        <w:rPr>
          <w:rFonts w:eastAsia="Calibri"/>
          <w:b/>
          <w:color w:val="000000"/>
          <w:szCs w:val="22"/>
          <w:lang w:eastAsia="en-US"/>
        </w:rPr>
        <w:t>ikkompressat</w:t>
      </w:r>
      <w:proofErr w:type="spellEnd"/>
      <w:r w:rsidRPr="00593850">
        <w:rPr>
          <w:rFonts w:eastAsia="Calibri"/>
          <w:b/>
          <w:color w:val="000000"/>
          <w:szCs w:val="22"/>
          <w:lang w:eastAsia="en-US"/>
        </w:rPr>
        <w:t>, u arloġġi tal-elettriku, tal-gass u tal-enerġija termali</w:t>
      </w:r>
    </w:p>
    <w:p w14:paraId="1537A40B" w14:textId="557B9582" w:rsidR="00BB0887" w:rsidRDefault="00BB0887" w:rsidP="00BB0887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i/>
        </w:rPr>
        <w:t xml:space="preserve">(UE) </w:t>
      </w:r>
      <w:r w:rsidRPr="004E7559">
        <w:rPr>
          <w:bCs/>
          <w:i/>
        </w:rPr>
        <w:t>20</w:t>
      </w:r>
      <w:r>
        <w:rPr>
          <w:bCs/>
          <w:i/>
        </w:rPr>
        <w:t>26</w:t>
      </w:r>
      <w:r w:rsidRPr="004E7559">
        <w:rPr>
          <w:bCs/>
          <w:i/>
        </w:rPr>
        <w:t>/</w:t>
      </w:r>
      <w:r>
        <w:rPr>
          <w:bCs/>
          <w:i/>
        </w:rPr>
        <w:t>706</w:t>
      </w:r>
      <w:r w:rsidRPr="004E7559">
        <w:rPr>
          <w:i/>
        </w:rPr>
        <w:t>.)</w:t>
      </w:r>
    </w:p>
    <w:p w14:paraId="6A50638C" w14:textId="77777777" w:rsidR="00BB0887" w:rsidRPr="00E43B8A" w:rsidRDefault="00BB0887" w:rsidP="00593850">
      <w:pPr>
        <w:autoSpaceDE w:val="0"/>
        <w:autoSpaceDN w:val="0"/>
        <w:adjustRightInd w:val="0"/>
        <w:spacing w:after="240"/>
        <w:rPr>
          <w:rFonts w:eastAsia="Calibri"/>
          <w:b/>
          <w:color w:val="000000"/>
          <w:szCs w:val="22"/>
          <w:lang w:eastAsia="en-US"/>
        </w:rPr>
      </w:pPr>
    </w:p>
    <w:sectPr w:rsidR="00BB0887" w:rsidRPr="00E43B8A" w:rsidSect="00BB08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4D628" w14:textId="77777777" w:rsidR="009D57C3" w:rsidRPr="00A95B82" w:rsidRDefault="009D57C3">
      <w:r w:rsidRPr="00A95B82">
        <w:separator/>
      </w:r>
    </w:p>
  </w:endnote>
  <w:endnote w:type="continuationSeparator" w:id="0">
    <w:p w14:paraId="3DCB943B" w14:textId="77777777" w:rsidR="009D57C3" w:rsidRPr="00A95B82" w:rsidRDefault="009D57C3">
      <w:r w:rsidRPr="00A95B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0ED6" w14:textId="77777777" w:rsidR="00064002" w:rsidRPr="00A95B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F7FE" w14:textId="77777777" w:rsidR="00064002" w:rsidRPr="00A95B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1413" w14:textId="77777777" w:rsidR="00064002" w:rsidRPr="00A95B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0C181" w14:textId="77777777" w:rsidR="009D57C3" w:rsidRPr="00A95B82" w:rsidRDefault="009D57C3">
      <w:r w:rsidRPr="00A95B82">
        <w:separator/>
      </w:r>
    </w:p>
  </w:footnote>
  <w:footnote w:type="continuationSeparator" w:id="0">
    <w:p w14:paraId="0A8735A2" w14:textId="77777777" w:rsidR="009D57C3" w:rsidRPr="00A95B82" w:rsidRDefault="009D57C3">
      <w:r w:rsidRPr="00A95B82">
        <w:continuationSeparator/>
      </w:r>
    </w:p>
  </w:footnote>
  <w:footnote w:id="1">
    <w:p w14:paraId="3C1EC100" w14:textId="13D969C8" w:rsidR="00970926" w:rsidRPr="00A95B82" w:rsidRDefault="00970926" w:rsidP="00A95B82">
      <w:pPr>
        <w:pStyle w:val="FootnoteText"/>
        <w:ind w:left="567" w:hanging="567"/>
        <w:rPr>
          <w:sz w:val="24"/>
          <w:lang w:val="mt-MT"/>
        </w:rPr>
      </w:pPr>
      <w:r w:rsidRPr="00A95B82">
        <w:rPr>
          <w:rStyle w:val="FootnoteReference"/>
          <w:sz w:val="24"/>
          <w:lang w:val="mt-MT"/>
        </w:rPr>
        <w:footnoteRef/>
      </w:r>
      <w:r w:rsidR="00A95B82" w:rsidRPr="00A95B82">
        <w:rPr>
          <w:sz w:val="24"/>
          <w:lang w:val="mt-MT"/>
        </w:rPr>
        <w:t xml:space="preserve"> </w:t>
      </w:r>
      <w:r w:rsidR="00A95B82" w:rsidRPr="00A95B82">
        <w:rPr>
          <w:sz w:val="24"/>
          <w:lang w:val="mt-MT"/>
        </w:rPr>
        <w:tab/>
      </w:r>
      <w:r w:rsidRPr="00A95B82">
        <w:rPr>
          <w:sz w:val="24"/>
          <w:lang w:val="mt-MT"/>
        </w:rPr>
        <w:t xml:space="preserve">ĠU C, C/2025/1192, 21.3.2025, ELI: </w:t>
      </w:r>
      <w:hyperlink r:id="rId1" w:history="1">
        <w:r w:rsidRPr="00A95B82">
          <w:rPr>
            <w:rStyle w:val="Hyperlink"/>
            <w:sz w:val="24"/>
            <w:lang w:val="mt-MT"/>
          </w:rPr>
          <w:t>https://eur-lex.europa.eu/eli/C/2025/1192/oj</w:t>
        </w:r>
      </w:hyperlink>
      <w:r w:rsidRPr="00A95B8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3186" w14:textId="77777777" w:rsidR="00064002" w:rsidRPr="00A95B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C3BC" w14:textId="77777777" w:rsidR="00064002" w:rsidRPr="00A95B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3E92" w14:textId="77777777" w:rsidR="00064002" w:rsidRPr="00A95B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65127601">
    <w:abstractNumId w:val="0"/>
  </w:num>
  <w:num w:numId="2" w16cid:durableId="773405446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MT"/>
    <w:docVar w:name="dvnumam" w:val="23"/>
    <w:docVar w:name="dvpe" w:val="773.060"/>
    <w:docVar w:name="dvrapporteur" w:val="Rapporteur: "/>
    <w:docVar w:name="dvstar" w:val="***I"/>
    <w:docVar w:name="dvtitre" w:val="Riżoluzzjoni leġiżlattiva tal-Parlament Ewropew xx xx xxxx 2026 dwar proposta għal direttiva tal-Parlament Ewropew u tal-Kunsill li temenda d-Direttiva 2014/32/UE fir-rigward ta’ tagħmir tal-provvista tal-vetturi elettriċi, distributuri tal-gass ikkumpressat, u arloġġi tal-elettriku, tal-gass u tal-enerġija termali(COM(2024)0561 – C10-0205/2024 – 2024/0311(COD))"/>
  </w:docVars>
  <w:rsids>
    <w:rsidRoot w:val="009D57C3"/>
    <w:rsid w:val="00002272"/>
    <w:rsid w:val="000137E5"/>
    <w:rsid w:val="000323EC"/>
    <w:rsid w:val="00064002"/>
    <w:rsid w:val="000677B9"/>
    <w:rsid w:val="000831BA"/>
    <w:rsid w:val="000A42CC"/>
    <w:rsid w:val="000E7DD9"/>
    <w:rsid w:val="0010095E"/>
    <w:rsid w:val="00125B37"/>
    <w:rsid w:val="00136357"/>
    <w:rsid w:val="00187494"/>
    <w:rsid w:val="001F32AE"/>
    <w:rsid w:val="001F6619"/>
    <w:rsid w:val="002767FF"/>
    <w:rsid w:val="002B18FE"/>
    <w:rsid w:val="002B5493"/>
    <w:rsid w:val="002B5A73"/>
    <w:rsid w:val="002E07A6"/>
    <w:rsid w:val="00343214"/>
    <w:rsid w:val="00361C00"/>
    <w:rsid w:val="00382C1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B34"/>
    <w:rsid w:val="0050519A"/>
    <w:rsid w:val="005072A1"/>
    <w:rsid w:val="00514517"/>
    <w:rsid w:val="00545827"/>
    <w:rsid w:val="00560270"/>
    <w:rsid w:val="00593850"/>
    <w:rsid w:val="005C2568"/>
    <w:rsid w:val="005F1B17"/>
    <w:rsid w:val="006037C0"/>
    <w:rsid w:val="006631B6"/>
    <w:rsid w:val="00680577"/>
    <w:rsid w:val="00681A40"/>
    <w:rsid w:val="006D61D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D7D"/>
    <w:rsid w:val="00865F67"/>
    <w:rsid w:val="008718EB"/>
    <w:rsid w:val="00881A7B"/>
    <w:rsid w:val="008840E5"/>
    <w:rsid w:val="00887B3E"/>
    <w:rsid w:val="008C2AC6"/>
    <w:rsid w:val="0092036B"/>
    <w:rsid w:val="00930C23"/>
    <w:rsid w:val="0093193B"/>
    <w:rsid w:val="009509D8"/>
    <w:rsid w:val="00950B64"/>
    <w:rsid w:val="00970926"/>
    <w:rsid w:val="00981893"/>
    <w:rsid w:val="009D57C3"/>
    <w:rsid w:val="00A1687D"/>
    <w:rsid w:val="00A43E52"/>
    <w:rsid w:val="00A4678D"/>
    <w:rsid w:val="00A778C7"/>
    <w:rsid w:val="00A95B82"/>
    <w:rsid w:val="00AB441E"/>
    <w:rsid w:val="00AB6293"/>
    <w:rsid w:val="00AE0928"/>
    <w:rsid w:val="00AF3B82"/>
    <w:rsid w:val="00B12E95"/>
    <w:rsid w:val="00B22876"/>
    <w:rsid w:val="00B558F0"/>
    <w:rsid w:val="00BB0887"/>
    <w:rsid w:val="00BB2E10"/>
    <w:rsid w:val="00BD48FE"/>
    <w:rsid w:val="00BD7BD8"/>
    <w:rsid w:val="00BE6ADC"/>
    <w:rsid w:val="00C05BFE"/>
    <w:rsid w:val="00C23CD4"/>
    <w:rsid w:val="00C61C0C"/>
    <w:rsid w:val="00C941CB"/>
    <w:rsid w:val="00CC2357"/>
    <w:rsid w:val="00CD2DA2"/>
    <w:rsid w:val="00CD651A"/>
    <w:rsid w:val="00CF071A"/>
    <w:rsid w:val="00D058B8"/>
    <w:rsid w:val="00D56C11"/>
    <w:rsid w:val="00D834A0"/>
    <w:rsid w:val="00D872DF"/>
    <w:rsid w:val="00D91E21"/>
    <w:rsid w:val="00DA7FCD"/>
    <w:rsid w:val="00DD2FD3"/>
    <w:rsid w:val="00E365E1"/>
    <w:rsid w:val="00E820A4"/>
    <w:rsid w:val="00EB006A"/>
    <w:rsid w:val="00EB4772"/>
    <w:rsid w:val="00ED169E"/>
    <w:rsid w:val="00ED4235"/>
    <w:rsid w:val="00EE42A0"/>
    <w:rsid w:val="00F026A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E7198"/>
  <w15:chartTrackingRefBased/>
  <w15:docId w15:val="{8F824B35-7AD0-4C93-B44A-457B3FD5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70926"/>
    <w:rPr>
      <w:b/>
    </w:rPr>
  </w:style>
  <w:style w:type="paragraph" w:customStyle="1" w:styleId="NormalHanging12a">
    <w:name w:val="NormalHanging12a"/>
    <w:basedOn w:val="Normal"/>
    <w:rsid w:val="00970926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970926"/>
    <w:pPr>
      <w:spacing w:before="240"/>
    </w:pPr>
    <w:rPr>
      <w:b/>
    </w:rPr>
  </w:style>
  <w:style w:type="paragraph" w:customStyle="1" w:styleId="EPComma">
    <w:name w:val="EPComma"/>
    <w:basedOn w:val="Normal"/>
    <w:rsid w:val="0097092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70926"/>
    <w:rPr>
      <w:b/>
      <w:sz w:val="24"/>
      <w:lang w:val="mt-MT"/>
    </w:rPr>
  </w:style>
  <w:style w:type="character" w:styleId="Hyperlink">
    <w:name w:val="Hyperlink"/>
    <w:basedOn w:val="DefaultParagraphFont"/>
    <w:unhideWhenUsed/>
    <w:rsid w:val="00970926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97092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70926"/>
    <w:pPr>
      <w:spacing w:after="120"/>
    </w:pPr>
  </w:style>
  <w:style w:type="paragraph" w:customStyle="1" w:styleId="ColumnHeading">
    <w:name w:val="ColumnHeading"/>
    <w:basedOn w:val="Normal"/>
    <w:rsid w:val="0097092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709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F026A9"/>
    <w:rPr>
      <w:sz w:val="24"/>
      <w:lang w:val="mt-MT"/>
    </w:rPr>
  </w:style>
  <w:style w:type="character" w:customStyle="1" w:styleId="Heading1Char">
    <w:name w:val="Heading 1 Char"/>
    <w:basedOn w:val="DefaultParagraphFont"/>
    <w:link w:val="Heading1"/>
    <w:uiPriority w:val="9"/>
    <w:rsid w:val="0059385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9385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85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85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85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85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85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9385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93850"/>
    <w:rPr>
      <w:rFonts w:ascii="Arial" w:hAnsi="Arial"/>
      <w:b/>
      <w:i/>
      <w:sz w:val="18"/>
      <w:lang w:val="mt-MT"/>
    </w:rPr>
  </w:style>
  <w:style w:type="paragraph" w:styleId="Header">
    <w:name w:val="header"/>
    <w:basedOn w:val="Normal"/>
    <w:link w:val="HeaderChar"/>
    <w:uiPriority w:val="99"/>
    <w:rsid w:val="005938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850"/>
    <w:rPr>
      <w:sz w:val="24"/>
      <w:lang w:val="mt-MT"/>
    </w:rPr>
  </w:style>
  <w:style w:type="paragraph" w:customStyle="1" w:styleId="AmDocTypeTab">
    <w:name w:val="AmDocTypeTab"/>
    <w:basedOn w:val="Normal"/>
    <w:rsid w:val="00593850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593850"/>
    <w:pPr>
      <w:spacing w:after="240"/>
    </w:pPr>
  </w:style>
  <w:style w:type="paragraph" w:customStyle="1" w:styleId="EPFooter2">
    <w:name w:val="EPFooter2"/>
    <w:basedOn w:val="Normal"/>
    <w:next w:val="Normal"/>
    <w:rsid w:val="005938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593850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593850"/>
    <w:pPr>
      <w:spacing w:after="240"/>
      <w:jc w:val="center"/>
    </w:pPr>
  </w:style>
  <w:style w:type="paragraph" w:customStyle="1" w:styleId="AmDateTab">
    <w:name w:val="AmDateTab"/>
    <w:basedOn w:val="Normal"/>
    <w:rsid w:val="00593850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5938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93850"/>
    <w:pPr>
      <w:spacing w:before="720" w:after="240"/>
      <w:jc w:val="center"/>
    </w:pPr>
  </w:style>
  <w:style w:type="paragraph" w:customStyle="1" w:styleId="EPFooter">
    <w:name w:val="EPFooter"/>
    <w:basedOn w:val="Normal"/>
    <w:rsid w:val="005938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59385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5938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850"/>
    <w:rPr>
      <w:sz w:val="24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593850"/>
  </w:style>
  <w:style w:type="paragraph" w:styleId="TOC4">
    <w:name w:val="toc 4"/>
    <w:basedOn w:val="Normal"/>
    <w:next w:val="Normal"/>
    <w:uiPriority w:val="39"/>
    <w:unhideWhenUsed/>
    <w:rsid w:val="0059385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9385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9385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9385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9385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9385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9385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9385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9385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9385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93850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9385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9385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9385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9385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9385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9385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9385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9385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9385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9385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9385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9385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93850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9385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93850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9385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9385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9385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9385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9385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9385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9385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9385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9385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9385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9385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9385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9385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9385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9385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9385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9385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9385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9385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9385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9385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9385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93850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93850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93850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93850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93850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93850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93850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93850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93850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93850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93850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93850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93850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93850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93850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93850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9385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9385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9385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9385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9385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938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938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938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938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938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9385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93850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93850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93850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9385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93850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93850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93850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93850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93850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93850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93850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93850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93850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93850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93850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93850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93850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93850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93850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93850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93850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93850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9385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9385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93850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93850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9385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93850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93850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93850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93850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93850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93850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9385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93850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93850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9385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9385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9385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9385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9385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9385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9385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9385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9385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9385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9385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9385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9385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93850"/>
    <w:pPr>
      <w:spacing w:before="240"/>
    </w:pPr>
  </w:style>
  <w:style w:type="paragraph" w:customStyle="1" w:styleId="Accordtitre">
    <w:name w:val="Accord titre"/>
    <w:basedOn w:val="Normal"/>
    <w:rsid w:val="0059385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9385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9385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9385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9385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93850"/>
    <w:pPr>
      <w:spacing w:after="240"/>
    </w:pPr>
  </w:style>
  <w:style w:type="paragraph" w:customStyle="1" w:styleId="Annexetitre">
    <w:name w:val="Annexe titre"/>
    <w:basedOn w:val="Normal"/>
    <w:next w:val="Normal"/>
    <w:rsid w:val="0059385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9385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85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850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59385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938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938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938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938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9385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9385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9385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9385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9385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9385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9385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9385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9385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9385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9385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9385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9385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9385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9385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9385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9385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9385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9385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9385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9385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938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9385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59385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93850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593850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850"/>
    <w:rPr>
      <w:rFonts w:eastAsia="Calibri"/>
      <w:lang w:val="mt-MT" w:eastAsia="en-US"/>
    </w:rPr>
  </w:style>
  <w:style w:type="character" w:styleId="CommentReference">
    <w:name w:val="annotation reference"/>
    <w:basedOn w:val="DefaultParagraphFont"/>
    <w:uiPriority w:val="99"/>
    <w:unhideWhenUsed/>
    <w:rsid w:val="00593850"/>
    <w:rPr>
      <w:sz w:val="16"/>
      <w:szCs w:val="16"/>
    </w:rPr>
  </w:style>
  <w:style w:type="character" w:customStyle="1" w:styleId="Hyperlink1">
    <w:name w:val="Hyperlink1"/>
    <w:basedOn w:val="DefaultParagraphFont"/>
    <w:uiPriority w:val="99"/>
    <w:unhideWhenUsed/>
    <w:rsid w:val="0059385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85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93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3850"/>
    <w:rPr>
      <w:rFonts w:eastAsia="Calibri"/>
      <w:b/>
      <w:bCs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2026-04-21T11:51:00Z</dcterms:created>
  <dcterms:modified xsi:type="dcterms:W3CDTF">2026-04-21T11:51:00Z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