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30B8" w14:paraId="59E4BC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B03A23" w14:textId="77777777" w:rsidR="00751A4A" w:rsidRPr="002130B8" w:rsidRDefault="009372C8" w:rsidP="0010095E">
            <w:pPr>
              <w:pStyle w:val="EPName"/>
            </w:pPr>
            <w:r w:rsidRPr="002130B8">
              <w:t>Parlament Europejski</w:t>
            </w:r>
          </w:p>
          <w:p w14:paraId="58B33186" w14:textId="77777777" w:rsidR="00751A4A" w:rsidRPr="002130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30B8">
              <w:t>2024</w:t>
            </w:r>
            <w:r w:rsidR="00817416" w:rsidRPr="002130B8">
              <w:t>-202</w:t>
            </w:r>
            <w:r w:rsidRPr="002130B8">
              <w:t>9</w:t>
            </w:r>
          </w:p>
        </w:tc>
        <w:tc>
          <w:tcPr>
            <w:tcW w:w="2268" w:type="dxa"/>
            <w:shd w:val="clear" w:color="auto" w:fill="auto"/>
          </w:tcPr>
          <w:p w14:paraId="6D7FC63B" w14:textId="77777777" w:rsidR="00751A4A" w:rsidRPr="002130B8" w:rsidRDefault="00187494" w:rsidP="0010095E">
            <w:pPr>
              <w:pStyle w:val="EPLogo"/>
            </w:pPr>
            <w:r w:rsidRPr="002130B8">
              <w:rPr>
                <w:noProof/>
                <w:lang w:eastAsia="ja-JP"/>
              </w:rPr>
              <w:drawing>
                <wp:inline distT="0" distB="0" distL="0" distR="0" wp14:anchorId="3F2E4CDE" wp14:editId="6E47A6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201FBD" w14:textId="77777777" w:rsidR="00D058B8" w:rsidRPr="002130B8" w:rsidRDefault="00D058B8" w:rsidP="004C5D52">
      <w:pPr>
        <w:pStyle w:val="LineTop"/>
      </w:pPr>
    </w:p>
    <w:p w14:paraId="666E7A10" w14:textId="77777777" w:rsidR="00680577" w:rsidRPr="002130B8" w:rsidRDefault="009372C8" w:rsidP="00680577">
      <w:pPr>
        <w:pStyle w:val="EPBodyTA1"/>
      </w:pPr>
      <w:r w:rsidRPr="002130B8">
        <w:t>TEKSTY PRZYJĘTE</w:t>
      </w:r>
    </w:p>
    <w:p w14:paraId="374DA0F0" w14:textId="77777777" w:rsidR="00D058B8" w:rsidRPr="002130B8" w:rsidRDefault="00D058B8" w:rsidP="00D058B8">
      <w:pPr>
        <w:pStyle w:val="LineBottom"/>
      </w:pPr>
    </w:p>
    <w:p w14:paraId="3823EAF5" w14:textId="3CD462B3" w:rsidR="009372C8" w:rsidRPr="002130B8" w:rsidRDefault="009372C8" w:rsidP="009372C8">
      <w:pPr>
        <w:pStyle w:val="ATHeading1"/>
      </w:pPr>
      <w:bookmarkStart w:id="0" w:name="TANumber"/>
      <w:r w:rsidRPr="002130B8">
        <w:t>P10_TA(2026)00</w:t>
      </w:r>
      <w:bookmarkEnd w:id="0"/>
      <w:r w:rsidR="007D57E9">
        <w:t>29</w:t>
      </w:r>
    </w:p>
    <w:p w14:paraId="54F995B0" w14:textId="77777777" w:rsidR="009372C8" w:rsidRPr="002130B8" w:rsidRDefault="009372C8" w:rsidP="009372C8">
      <w:pPr>
        <w:pStyle w:val="ATHeading2"/>
      </w:pPr>
      <w:bookmarkStart w:id="1" w:name="title"/>
      <w:r w:rsidRPr="002130B8">
        <w:t>Zmiana dyrektywy w sprawie przyrządów pomiarowych</w:t>
      </w:r>
      <w:bookmarkEnd w:id="1"/>
    </w:p>
    <w:p w14:paraId="05F0753B" w14:textId="77777777" w:rsidR="009372C8" w:rsidRPr="002130B8" w:rsidRDefault="009372C8" w:rsidP="009372C8">
      <w:pPr>
        <w:rPr>
          <w:i/>
          <w:vanish/>
        </w:rPr>
      </w:pPr>
      <w:r w:rsidRPr="002130B8">
        <w:rPr>
          <w:i/>
        </w:rPr>
        <w:fldChar w:fldCharType="begin"/>
      </w:r>
      <w:r w:rsidRPr="002130B8">
        <w:rPr>
          <w:i/>
        </w:rPr>
        <w:instrText xml:space="preserve"> TC"(</w:instrText>
      </w:r>
      <w:bookmarkStart w:id="2" w:name="DocNumber"/>
      <w:r w:rsidRPr="002130B8">
        <w:rPr>
          <w:i/>
        </w:rPr>
        <w:instrText>A10-0173/2025</w:instrText>
      </w:r>
      <w:bookmarkEnd w:id="2"/>
      <w:r w:rsidRPr="002130B8">
        <w:rPr>
          <w:i/>
        </w:rPr>
        <w:instrText xml:space="preserve"> - Sprawozdawca: Zala Tomašič)"\l3 \n&gt; \* MERGEFORMAT </w:instrText>
      </w:r>
      <w:r w:rsidRPr="002130B8">
        <w:rPr>
          <w:i/>
        </w:rPr>
        <w:fldChar w:fldCharType="end"/>
      </w:r>
    </w:p>
    <w:p w14:paraId="74CE084F" w14:textId="77777777" w:rsidR="009372C8" w:rsidRPr="002130B8" w:rsidRDefault="009372C8" w:rsidP="009372C8">
      <w:pPr>
        <w:rPr>
          <w:vanish/>
        </w:rPr>
      </w:pPr>
      <w:bookmarkStart w:id="3" w:name="Commission"/>
      <w:r w:rsidRPr="002130B8">
        <w:rPr>
          <w:vanish/>
        </w:rPr>
        <w:t>Komisja Rynku Wewnętrznego i Ochrony Konsumentów</w:t>
      </w:r>
      <w:bookmarkEnd w:id="3"/>
    </w:p>
    <w:p w14:paraId="1F21C187" w14:textId="77777777" w:rsidR="009372C8" w:rsidRPr="002130B8" w:rsidRDefault="009372C8" w:rsidP="009372C8">
      <w:pPr>
        <w:rPr>
          <w:vanish/>
        </w:rPr>
      </w:pPr>
      <w:bookmarkStart w:id="4" w:name="PE"/>
      <w:r w:rsidRPr="002130B8">
        <w:rPr>
          <w:vanish/>
        </w:rPr>
        <w:t>PE773.060</w:t>
      </w:r>
      <w:bookmarkEnd w:id="4"/>
    </w:p>
    <w:p w14:paraId="6D0A1136" w14:textId="74F8D5E4" w:rsidR="009372C8" w:rsidRPr="002130B8" w:rsidRDefault="009372C8" w:rsidP="009372C8">
      <w:pPr>
        <w:pStyle w:val="ATHeading3"/>
      </w:pPr>
      <w:bookmarkStart w:id="5" w:name="Sujet"/>
      <w:r w:rsidRPr="002130B8">
        <w:t xml:space="preserve">Rezolucja ustawodawcza Parlamentu Europejskiego z dnia </w:t>
      </w:r>
      <w:r w:rsidR="00A35513">
        <w:t>10</w:t>
      </w:r>
      <w:r w:rsidRPr="002130B8">
        <w:t xml:space="preserve"> </w:t>
      </w:r>
      <w:r w:rsidR="00790791">
        <w:t xml:space="preserve">lutego </w:t>
      </w:r>
      <w:r w:rsidRPr="002130B8">
        <w:t>2026 r. w sprawie wniosku dotyczącego dyrektywy Parlamentu Europejskiego i Rady zmieniającej dyrektywę 2014/32/UE w odniesieniu do infrastruktury do ładowania pojazdów elektrycznych, odmierzaczy sprężonego gazu oraz liczników energii elektrycznej, gazomierzy i ciepłomierzy</w:t>
      </w:r>
      <w:bookmarkEnd w:id="5"/>
      <w:r w:rsidRPr="002130B8">
        <w:t xml:space="preserve"> </w:t>
      </w:r>
      <w:bookmarkStart w:id="6" w:name="References"/>
      <w:r w:rsidRPr="002130B8">
        <w:t>(COM(2024)0561 – C10-0205/2024 – 2024/0311(COD))</w:t>
      </w:r>
      <w:bookmarkEnd w:id="6"/>
    </w:p>
    <w:p w14:paraId="5A61FAA7" w14:textId="77777777" w:rsidR="00E30FBE" w:rsidRPr="002130B8" w:rsidRDefault="00E30FBE" w:rsidP="00E30FBE">
      <w:pPr>
        <w:pStyle w:val="NormalBold"/>
      </w:pPr>
      <w:r w:rsidRPr="002130B8">
        <w:t>(Zwykła procedura ustawodawcza: pierwsze czytanie)</w:t>
      </w:r>
    </w:p>
    <w:p w14:paraId="7BD9C17D" w14:textId="77777777" w:rsidR="00E30FBE" w:rsidRPr="002130B8" w:rsidRDefault="00E30FBE" w:rsidP="00E30FBE">
      <w:pPr>
        <w:pStyle w:val="EPComma"/>
      </w:pPr>
      <w:r w:rsidRPr="002130B8">
        <w:rPr>
          <w:i/>
        </w:rPr>
        <w:t>Parlament Europejski</w:t>
      </w:r>
      <w:r w:rsidRPr="002130B8">
        <w:t>,</w:t>
      </w:r>
    </w:p>
    <w:p w14:paraId="6BE0DD08" w14:textId="77777777" w:rsidR="00E30FBE" w:rsidRPr="002130B8" w:rsidRDefault="00E30FBE" w:rsidP="00E30FBE">
      <w:pPr>
        <w:pStyle w:val="NormalHanging12a"/>
      </w:pPr>
      <w:r w:rsidRPr="002130B8">
        <w:t>–</w:t>
      </w:r>
      <w:r w:rsidRPr="002130B8">
        <w:tab/>
        <w:t>uwzględniając wniosek Komisji przedstawiony Parlamentowi Europejskiemu i Radzie (COM(2024)0561),</w:t>
      </w:r>
    </w:p>
    <w:p w14:paraId="2C8C693A" w14:textId="54FB467E" w:rsidR="00E30FBE" w:rsidRPr="002130B8" w:rsidRDefault="00E30FBE" w:rsidP="00E30FBE">
      <w:pPr>
        <w:pStyle w:val="NormalHanging12a"/>
      </w:pPr>
      <w:r w:rsidRPr="002130B8">
        <w:t>–</w:t>
      </w:r>
      <w:r w:rsidRPr="002130B8">
        <w:tab/>
        <w:t xml:space="preserve">uwzględniając art. 294 ust. 2 </w:t>
      </w:r>
      <w:r w:rsidR="009D3851">
        <w:t>i</w:t>
      </w:r>
      <w:r w:rsidRPr="002130B8">
        <w:t xml:space="preserve"> art. 114 Traktatu o funkcjonowaniu Unii Europejskiej, zgodnie z którymi wniosek został przedstawiony Parlamentowi przez Komisję (C10</w:t>
      </w:r>
      <w:r w:rsidRPr="002130B8">
        <w:noBreakHyphen/>
        <w:t>0205/2024),</w:t>
      </w:r>
    </w:p>
    <w:p w14:paraId="21ADB083" w14:textId="77777777" w:rsidR="00E30FBE" w:rsidRPr="002130B8" w:rsidRDefault="00E30FBE" w:rsidP="00E30FBE">
      <w:pPr>
        <w:pStyle w:val="NormalHanging12a"/>
      </w:pPr>
      <w:r w:rsidRPr="002130B8">
        <w:t>–</w:t>
      </w:r>
      <w:r w:rsidRPr="002130B8">
        <w:tab/>
        <w:t>uwzględniając art. 294 ust. 3 Traktatu o funkcjonowaniu Unii Europejskiej,</w:t>
      </w:r>
    </w:p>
    <w:p w14:paraId="401CFEF1" w14:textId="201F53B4" w:rsidR="00E30FBE" w:rsidRPr="002130B8" w:rsidRDefault="00E30FBE" w:rsidP="00E30FBE">
      <w:pPr>
        <w:pStyle w:val="NormalHanging12a"/>
      </w:pPr>
      <w:r w:rsidRPr="002130B8">
        <w:t>–</w:t>
      </w:r>
      <w:r w:rsidRPr="002130B8">
        <w:tab/>
        <w:t xml:space="preserve">uwzględniając opinię Europejskiego Komitetu Ekonomiczno-Społecznego z </w:t>
      </w:r>
      <w:r w:rsidR="009D3851">
        <w:t xml:space="preserve">dnia </w:t>
      </w:r>
      <w:r w:rsidRPr="002130B8">
        <w:t>22 stycznia 2025 r.</w:t>
      </w:r>
      <w:r w:rsidRPr="002130B8">
        <w:rPr>
          <w:rStyle w:val="FootnoteReference"/>
        </w:rPr>
        <w:footnoteReference w:id="1"/>
      </w:r>
      <w:r w:rsidRPr="002130B8">
        <w:t>,</w:t>
      </w:r>
    </w:p>
    <w:p w14:paraId="4399275B" w14:textId="77777777" w:rsidR="00A35513" w:rsidRDefault="00A35513" w:rsidP="00A35513">
      <w:pPr>
        <w:pStyle w:val="Normal12Hanging"/>
        <w:ind w:left="567" w:hanging="567"/>
      </w:pPr>
      <w:bookmarkStart w:id="7" w:name="_Hlk208309836"/>
      <w:r w:rsidRPr="0090212C">
        <w:t>–</w:t>
      </w:r>
      <w:r w:rsidRPr="0090212C">
        <w:tab/>
      </w:r>
      <w:bookmarkStart w:id="8" w:name="_Hlk208304133"/>
      <w:r w:rsidRPr="0090212C"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75</w:t>
      </w:r>
      <w:r w:rsidRPr="0090212C">
        <w:t xml:space="preserve"> ust. 4 Regulaminu oraz </w:t>
      </w:r>
      <w:r>
        <w:t>przekazane pismem z dnia 26 listopada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8"/>
    </w:p>
    <w:bookmarkEnd w:id="7"/>
    <w:p w14:paraId="336D34C6" w14:textId="77777777" w:rsidR="00E30FBE" w:rsidRPr="002130B8" w:rsidRDefault="00E30FBE" w:rsidP="00E30FBE">
      <w:pPr>
        <w:pStyle w:val="NormalHanging12a"/>
      </w:pPr>
      <w:r w:rsidRPr="002130B8">
        <w:t>–</w:t>
      </w:r>
      <w:r w:rsidRPr="002130B8">
        <w:tab/>
        <w:t>uwzględniając art. 60 Regulaminu,</w:t>
      </w:r>
    </w:p>
    <w:p w14:paraId="7F8E65DE" w14:textId="77777777" w:rsidR="00E30FBE" w:rsidRPr="002130B8" w:rsidRDefault="00E30FBE" w:rsidP="00E30FBE">
      <w:pPr>
        <w:pStyle w:val="NormalHanging12a"/>
      </w:pPr>
      <w:r w:rsidRPr="002130B8">
        <w:t>–</w:t>
      </w:r>
      <w:r w:rsidRPr="002130B8">
        <w:tab/>
        <w:t>uwzględniając sprawozdanie Komisji Rynku Wewnętrznego i Ochrony Konsumentów (A10-0173/2025),</w:t>
      </w:r>
    </w:p>
    <w:p w14:paraId="14E702F7" w14:textId="77777777" w:rsidR="00E30FBE" w:rsidRPr="002130B8" w:rsidRDefault="00E30FBE" w:rsidP="00E30FBE">
      <w:pPr>
        <w:pStyle w:val="NormalHanging12a"/>
      </w:pPr>
      <w:r w:rsidRPr="002130B8">
        <w:t>1.</w:t>
      </w:r>
      <w:r w:rsidRPr="002130B8">
        <w:tab/>
        <w:t>przyjmuje poniższe stanowisko w pierwszym czytaniu;</w:t>
      </w:r>
    </w:p>
    <w:p w14:paraId="7D698762" w14:textId="77777777" w:rsidR="00E30FBE" w:rsidRPr="002130B8" w:rsidRDefault="00E30FBE" w:rsidP="00E30FBE">
      <w:pPr>
        <w:pStyle w:val="NormalHanging12a"/>
      </w:pPr>
      <w:r w:rsidRPr="002130B8">
        <w:lastRenderedPageBreak/>
        <w:t>2.</w:t>
      </w:r>
      <w:r w:rsidRPr="002130B8">
        <w:tab/>
        <w:t>zwraca się do Komisji o ponowne przekazanie mu sprawy, jeśli zastąpi ona pierwotny wniosek, wprowadzi w nim istotne zmiany lub planuje ich wprowadzenie;</w:t>
      </w:r>
    </w:p>
    <w:p w14:paraId="547BA9A5" w14:textId="77777777" w:rsidR="00E30FBE" w:rsidRPr="002130B8" w:rsidRDefault="00E30FBE" w:rsidP="00E30FBE">
      <w:pPr>
        <w:pStyle w:val="NormalHanging12a"/>
      </w:pPr>
      <w:r w:rsidRPr="002130B8">
        <w:t>3.</w:t>
      </w:r>
      <w:r w:rsidRPr="002130B8">
        <w:tab/>
        <w:t>zobowiązuje swoją przewodniczącą do przekazania stanowiska Parlamentu Radzie i Komisji oraz parlamentom narodowym.</w:t>
      </w:r>
    </w:p>
    <w:p w14:paraId="7FBA7392" w14:textId="77777777" w:rsidR="00F10D68" w:rsidRDefault="00F10D68" w:rsidP="00E30FBE">
      <w:pPr>
        <w:widowControl/>
        <w:sectPr w:rsidR="00F10D68" w:rsidSect="002130B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45E48EF" w14:textId="77777777" w:rsidR="00F10D68" w:rsidRPr="00F10D68" w:rsidRDefault="00F10D68" w:rsidP="00F10D6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10D68">
        <w:rPr>
          <w:b/>
          <w:bCs/>
          <w:color w:val="000000"/>
        </w:rPr>
        <w:lastRenderedPageBreak/>
        <w:t>P10_TC1-COD(2024)0311</w:t>
      </w:r>
    </w:p>
    <w:p w14:paraId="283973DF" w14:textId="3220C654" w:rsidR="00F10D68" w:rsidRDefault="00F10D68" w:rsidP="00F10D68">
      <w:pPr>
        <w:spacing w:before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10 lutego 2026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>(UE) 202</w:t>
      </w:r>
      <w:r w:rsidR="00554289">
        <w:rPr>
          <w:b/>
        </w:rPr>
        <w:t>6</w:t>
      </w:r>
      <w:r>
        <w:rPr>
          <w:b/>
        </w:rPr>
        <w:t xml:space="preserve">/... </w:t>
      </w:r>
      <w:r w:rsidRPr="00E15F57">
        <w:rPr>
          <w:rFonts w:eastAsia="Calibri"/>
          <w:b/>
          <w:szCs w:val="22"/>
          <w:lang w:eastAsia="en-US"/>
        </w:rPr>
        <w:t>w sprawie zmiany dyrektywy 2014/32/UE w odniesieniu do instalacji pomiarowych do infrastruktury do ładowania pojazdów elektrycznych i do odmierzaczy sprężonego gazu oraz w odniesieniu do liczników energii elektrycznej, gazomierzy i ciepłomierzy</w:t>
      </w:r>
    </w:p>
    <w:p w14:paraId="4073D411" w14:textId="77777777" w:rsidR="00554289" w:rsidRDefault="00554289" w:rsidP="00F10D68">
      <w:pPr>
        <w:spacing w:before="240"/>
        <w:rPr>
          <w:rFonts w:eastAsia="Calibri"/>
          <w:b/>
          <w:szCs w:val="22"/>
          <w:lang w:eastAsia="en-US"/>
        </w:rPr>
      </w:pPr>
    </w:p>
    <w:p w14:paraId="055B54D1" w14:textId="6EC9C207" w:rsidR="00554289" w:rsidRDefault="00554289" w:rsidP="00F10D68">
      <w:pPr>
        <w:spacing w:before="240"/>
        <w:rPr>
          <w:b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dyrektywy (UE) 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706</w:t>
      </w:r>
      <w:r>
        <w:rPr>
          <w:i/>
        </w:rPr>
        <w:t>.)</w:t>
      </w:r>
    </w:p>
    <w:sectPr w:rsidR="00554289" w:rsidSect="00554289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0BCE4" w14:textId="77777777" w:rsidR="009372C8" w:rsidRPr="002130B8" w:rsidRDefault="009372C8">
      <w:r w:rsidRPr="002130B8">
        <w:separator/>
      </w:r>
    </w:p>
  </w:endnote>
  <w:endnote w:type="continuationSeparator" w:id="0">
    <w:p w14:paraId="09E064C5" w14:textId="77777777" w:rsidR="009372C8" w:rsidRPr="002130B8" w:rsidRDefault="009372C8">
      <w:r w:rsidRPr="002130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3A511" w14:textId="77777777" w:rsidR="009372C8" w:rsidRPr="002130B8" w:rsidRDefault="009372C8">
      <w:r w:rsidRPr="002130B8">
        <w:separator/>
      </w:r>
    </w:p>
  </w:footnote>
  <w:footnote w:type="continuationSeparator" w:id="0">
    <w:p w14:paraId="5CD352DB" w14:textId="77777777" w:rsidR="009372C8" w:rsidRPr="002130B8" w:rsidRDefault="009372C8">
      <w:r w:rsidRPr="002130B8">
        <w:continuationSeparator/>
      </w:r>
    </w:p>
  </w:footnote>
  <w:footnote w:id="1">
    <w:p w14:paraId="04197D8E" w14:textId="73D88288" w:rsidR="00E30FBE" w:rsidRPr="00A35513" w:rsidRDefault="00E30FBE" w:rsidP="002130B8">
      <w:pPr>
        <w:pStyle w:val="FootnoteText"/>
        <w:ind w:left="567" w:hanging="567"/>
        <w:rPr>
          <w:sz w:val="24"/>
          <w:lang w:val="fi-FI"/>
        </w:rPr>
      </w:pPr>
      <w:r w:rsidRPr="002130B8">
        <w:rPr>
          <w:rStyle w:val="FootnoteReference"/>
          <w:sz w:val="24"/>
          <w:lang w:val="pl-PL"/>
        </w:rPr>
        <w:footnoteRef/>
      </w:r>
      <w:r w:rsidR="002130B8" w:rsidRPr="00A35513">
        <w:rPr>
          <w:sz w:val="24"/>
          <w:lang w:val="fi-FI"/>
        </w:rPr>
        <w:t xml:space="preserve"> </w:t>
      </w:r>
      <w:r w:rsidR="002130B8" w:rsidRPr="00A35513">
        <w:rPr>
          <w:sz w:val="24"/>
          <w:lang w:val="fi-FI"/>
        </w:rPr>
        <w:tab/>
      </w:r>
      <w:r w:rsidRPr="00A35513">
        <w:rPr>
          <w:sz w:val="24"/>
          <w:lang w:val="fi-FI"/>
        </w:rPr>
        <w:t xml:space="preserve">Dz.U. C, C/2025/1192, 21.3.2025, ELI: </w:t>
      </w:r>
      <w:hyperlink r:id="rId1" w:history="1">
        <w:r w:rsidRPr="00A35513">
          <w:rPr>
            <w:rStyle w:val="Hyperlink"/>
            <w:sz w:val="24"/>
            <w:lang w:val="fi-FI"/>
          </w:rPr>
          <w:t>https://eur-lex.europa.eu/eli/C/2025/1192/oj</w:t>
        </w:r>
      </w:hyperlink>
      <w:r w:rsidRPr="00A35513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42948766">
    <w:abstractNumId w:val="0"/>
  </w:num>
  <w:num w:numId="2" w16cid:durableId="465702491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PL"/>
    <w:docVar w:name="dvnumam" w:val="0"/>
    <w:docVar w:name="dvpe" w:val="773.060"/>
    <w:docVar w:name="dvrapporteur" w:val="Sprawozdawca: "/>
    <w:docVar w:name="dvstar" w:val="***I"/>
    <w:docVar w:name="dvtitre" w:val="Rezolucja ustawodawcza Parlamentu Europejskiego z dnia  2026 r. w sprawie wniosku dotyczącego dyrektywy Parlamentu Europejskiego i Rady zmieniającej dyrektywę 2014/32/UE w odniesieniu do infrastruktury do ładowania pojazdów elektrycznych, odmierzaczy sprężonego gazu oraz liczników energii elektrycznej, gazomierzy i ciepłomierzy(COM(2024)0561 – C10-0205/2024 – 2024/0311(COD))"/>
  </w:docVars>
  <w:rsids>
    <w:rsidRoot w:val="009372C8"/>
    <w:rsid w:val="00002272"/>
    <w:rsid w:val="00002558"/>
    <w:rsid w:val="00064002"/>
    <w:rsid w:val="00066A5F"/>
    <w:rsid w:val="000677B9"/>
    <w:rsid w:val="000831BA"/>
    <w:rsid w:val="000A42CC"/>
    <w:rsid w:val="000E7DD9"/>
    <w:rsid w:val="0010095E"/>
    <w:rsid w:val="00125B37"/>
    <w:rsid w:val="00186761"/>
    <w:rsid w:val="00187494"/>
    <w:rsid w:val="001F32AE"/>
    <w:rsid w:val="002130B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4FD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289"/>
    <w:rsid w:val="00560270"/>
    <w:rsid w:val="005C2568"/>
    <w:rsid w:val="005F1B17"/>
    <w:rsid w:val="006037C0"/>
    <w:rsid w:val="006631B6"/>
    <w:rsid w:val="00680577"/>
    <w:rsid w:val="006B1BDF"/>
    <w:rsid w:val="006F74FA"/>
    <w:rsid w:val="00731ADD"/>
    <w:rsid w:val="00734777"/>
    <w:rsid w:val="00747932"/>
    <w:rsid w:val="00751A4A"/>
    <w:rsid w:val="00756632"/>
    <w:rsid w:val="00762C74"/>
    <w:rsid w:val="00786EC0"/>
    <w:rsid w:val="00790791"/>
    <w:rsid w:val="007D1690"/>
    <w:rsid w:val="007D57E9"/>
    <w:rsid w:val="007E22AD"/>
    <w:rsid w:val="00817416"/>
    <w:rsid w:val="00842779"/>
    <w:rsid w:val="00865F67"/>
    <w:rsid w:val="00881A7B"/>
    <w:rsid w:val="008840E5"/>
    <w:rsid w:val="00887B3E"/>
    <w:rsid w:val="008C2AC6"/>
    <w:rsid w:val="00927E33"/>
    <w:rsid w:val="00930C23"/>
    <w:rsid w:val="0093193B"/>
    <w:rsid w:val="009372C8"/>
    <w:rsid w:val="009509D8"/>
    <w:rsid w:val="00950B64"/>
    <w:rsid w:val="00981893"/>
    <w:rsid w:val="009D3851"/>
    <w:rsid w:val="00A1687D"/>
    <w:rsid w:val="00A3551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1A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3C6"/>
    <w:rsid w:val="00DA7FCD"/>
    <w:rsid w:val="00E30FBE"/>
    <w:rsid w:val="00E365E1"/>
    <w:rsid w:val="00E569D7"/>
    <w:rsid w:val="00E820A4"/>
    <w:rsid w:val="00EB006A"/>
    <w:rsid w:val="00EB4772"/>
    <w:rsid w:val="00ED169E"/>
    <w:rsid w:val="00ED4235"/>
    <w:rsid w:val="00F04346"/>
    <w:rsid w:val="00F075DC"/>
    <w:rsid w:val="00F10D68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9E647"/>
  <w15:chartTrackingRefBased/>
  <w15:docId w15:val="{4929E478-9355-42A4-BD84-19DB4198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30FBE"/>
    <w:rPr>
      <w:b/>
    </w:rPr>
  </w:style>
  <w:style w:type="paragraph" w:customStyle="1" w:styleId="NormalHanging12a">
    <w:name w:val="NormalHanging12a"/>
    <w:basedOn w:val="Normal"/>
    <w:rsid w:val="00E30FBE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E30FBE"/>
    <w:pPr>
      <w:spacing w:before="240"/>
    </w:pPr>
    <w:rPr>
      <w:b/>
    </w:rPr>
  </w:style>
  <w:style w:type="paragraph" w:customStyle="1" w:styleId="EPComma">
    <w:name w:val="EPComma"/>
    <w:basedOn w:val="Normal"/>
    <w:rsid w:val="00E30FBE"/>
    <w:pPr>
      <w:spacing w:before="480" w:after="240"/>
    </w:pPr>
  </w:style>
  <w:style w:type="character" w:styleId="Hyperlink">
    <w:name w:val="Hyperlink"/>
    <w:basedOn w:val="DefaultParagraphFont"/>
    <w:unhideWhenUsed/>
    <w:rsid w:val="00E30FBE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E30FBE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E30FB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30FBE"/>
    <w:rPr>
      <w:b/>
      <w:sz w:val="24"/>
      <w:lang w:val="pl-PL"/>
    </w:rPr>
  </w:style>
  <w:style w:type="paragraph" w:customStyle="1" w:styleId="ColumnHeading">
    <w:name w:val="ColumnHeading"/>
    <w:basedOn w:val="Normal"/>
    <w:rsid w:val="00E30FB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30FB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A35513"/>
    <w:rPr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A35513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A35513"/>
    <w:rPr>
      <w:snapToGrid w:val="0"/>
      <w:sz w:val="24"/>
      <w:lang w:val="pl-PL"/>
    </w:rPr>
  </w:style>
  <w:style w:type="paragraph" w:styleId="Header">
    <w:name w:val="header"/>
    <w:basedOn w:val="Normal"/>
    <w:link w:val="HeaderChar"/>
    <w:uiPriority w:val="99"/>
    <w:rsid w:val="00F10D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D68"/>
    <w:rPr>
      <w:sz w:val="24"/>
      <w:lang w:val="pl-PL"/>
    </w:rPr>
  </w:style>
  <w:style w:type="paragraph" w:customStyle="1" w:styleId="AmDocTypeTab">
    <w:name w:val="AmDocTypeTab"/>
    <w:basedOn w:val="Normal"/>
    <w:rsid w:val="00F10D68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F10D68"/>
    <w:pPr>
      <w:spacing w:after="240"/>
    </w:pPr>
  </w:style>
  <w:style w:type="paragraph" w:customStyle="1" w:styleId="EPFooter2">
    <w:name w:val="EPFooter2"/>
    <w:basedOn w:val="Normal"/>
    <w:next w:val="Normal"/>
    <w:rsid w:val="00F10D6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10D68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F10D68"/>
    <w:pPr>
      <w:spacing w:after="240"/>
      <w:jc w:val="center"/>
    </w:pPr>
  </w:style>
  <w:style w:type="paragraph" w:customStyle="1" w:styleId="AmDateTab">
    <w:name w:val="AmDateTab"/>
    <w:basedOn w:val="Normal"/>
    <w:rsid w:val="00F10D68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F10D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10D68"/>
    <w:pPr>
      <w:spacing w:before="720" w:after="240"/>
      <w:jc w:val="center"/>
    </w:pPr>
  </w:style>
  <w:style w:type="paragraph" w:customStyle="1" w:styleId="EPFooter">
    <w:name w:val="EPFooter"/>
    <w:basedOn w:val="Normal"/>
    <w:rsid w:val="00F10D6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F10D68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F10D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D68"/>
    <w:rPr>
      <w:sz w:val="24"/>
      <w:lang w:val="pl-PL"/>
    </w:rPr>
  </w:style>
  <w:style w:type="numbering" w:customStyle="1" w:styleId="NoList1">
    <w:name w:val="No List1"/>
    <w:next w:val="NoList"/>
    <w:uiPriority w:val="99"/>
    <w:semiHidden/>
    <w:unhideWhenUsed/>
    <w:rsid w:val="00F10D68"/>
  </w:style>
  <w:style w:type="character" w:customStyle="1" w:styleId="Heading1Char">
    <w:name w:val="Heading 1 Char"/>
    <w:basedOn w:val="DefaultParagraphFont"/>
    <w:link w:val="Heading1"/>
    <w:uiPriority w:val="9"/>
    <w:rsid w:val="00F10D6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10D6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0D6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0D6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0D6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0D68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0D68"/>
    <w:rPr>
      <w:rFonts w:ascii="Arial" w:hAnsi="Arial"/>
      <w:sz w:val="24"/>
      <w:lang w:val="pl-PL"/>
    </w:rPr>
  </w:style>
  <w:style w:type="paragraph" w:styleId="TOC4">
    <w:name w:val="toc 4"/>
    <w:basedOn w:val="Normal"/>
    <w:next w:val="Normal"/>
    <w:uiPriority w:val="39"/>
    <w:unhideWhenUsed/>
    <w:rsid w:val="00F10D6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10D6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10D6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10D6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10D6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10D6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10D6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10D6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10D6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10D6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10D68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F10D6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10D6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F10D6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10D6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10D6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10D6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10D6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10D6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F10D6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10D6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10D6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10D6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F10D68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10D6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10D68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10D6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10D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10D6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10D6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10D6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10D6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10D6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10D6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10D6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10D6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10D6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10D6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10D6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10D6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10D6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10D6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10D6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10D6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10D6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10D6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10D6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10D6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10D6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10D68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10D68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10D68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10D68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10D68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10D68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10D68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10D68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10D68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10D68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10D68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10D68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10D68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10D68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10D68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10D68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10D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10D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10D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10D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10D6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10D6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10D6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10D6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10D6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10D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10D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10D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10D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10D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10D6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10D6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10D6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10D6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10D6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F10D68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10D68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10D68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10D68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10D68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10D68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10D68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10D68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10D68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10D68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10D68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10D68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10D68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10D68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10D68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10D68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10D68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10D68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10D6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10D6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10D6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F10D68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10D6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10D6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10D6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10D6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10D6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10D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10D6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F10D6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F10D6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10D6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10D6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10D6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10D6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10D6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10D6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10D6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10D6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10D6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10D6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10D6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10D6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10D6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10D6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10D6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10D68"/>
    <w:pPr>
      <w:spacing w:before="240"/>
    </w:pPr>
  </w:style>
  <w:style w:type="paragraph" w:customStyle="1" w:styleId="Accordtitre">
    <w:name w:val="Accord titre"/>
    <w:basedOn w:val="Normal"/>
    <w:rsid w:val="00F10D6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10D6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10D6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10D6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10D6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10D68"/>
    <w:pPr>
      <w:spacing w:after="240"/>
    </w:pPr>
  </w:style>
  <w:style w:type="paragraph" w:customStyle="1" w:styleId="Annexetitre">
    <w:name w:val="Annexe titre"/>
    <w:basedOn w:val="Normal"/>
    <w:next w:val="Normal"/>
    <w:rsid w:val="00F10D6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10D6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10D6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0D68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F10D6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F10D6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10D6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10D6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10D6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10D6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10D6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10D6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10D6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10D6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10D6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10D6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10D6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10D6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10D6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10D6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10D6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10D6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10D6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10D6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10D6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10D6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10D6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10D6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10D6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10D6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10D6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10D6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F10D6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10D68"/>
    <w:pPr>
      <w:pBdr>
        <w:top w:val="none" w:sz="0" w:space="0" w:color="auto"/>
        <w:left w:val="single" w:sz="4" w:space="20" w:color="auto"/>
      </w:pBdr>
    </w:pPr>
  </w:style>
  <w:style w:type="paragraph" w:styleId="CommentText">
    <w:name w:val="annotation text"/>
    <w:basedOn w:val="Normal"/>
    <w:link w:val="CommentTextChar"/>
    <w:uiPriority w:val="99"/>
    <w:unhideWhenUsed/>
    <w:rsid w:val="00F10D68"/>
    <w:pPr>
      <w:widowControl/>
      <w:spacing w:before="120" w:after="120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0D68"/>
    <w:rPr>
      <w:rFonts w:eastAsia="Calibri"/>
      <w:lang w:val="pl-PL" w:eastAsia="en-US"/>
    </w:rPr>
  </w:style>
  <w:style w:type="character" w:styleId="CommentReference">
    <w:name w:val="annotation reference"/>
    <w:basedOn w:val="DefaultParagraphFont"/>
    <w:uiPriority w:val="99"/>
    <w:unhideWhenUsed/>
    <w:rsid w:val="00F10D68"/>
    <w:rPr>
      <w:sz w:val="16"/>
      <w:szCs w:val="16"/>
    </w:rPr>
  </w:style>
  <w:style w:type="character" w:customStyle="1" w:styleId="Hyperlink1">
    <w:name w:val="Hyperlink1"/>
    <w:basedOn w:val="DefaultParagraphFont"/>
    <w:uiPriority w:val="99"/>
    <w:unhideWhenUsed/>
    <w:rsid w:val="00F10D6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D6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10D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10D68"/>
    <w:rPr>
      <w:rFonts w:eastAsia="Calibri"/>
      <w:b/>
      <w:bCs/>
      <w:lang w:val="pl-PL" w:eastAsia="en-US"/>
    </w:rPr>
  </w:style>
  <w:style w:type="paragraph" w:styleId="ListParagraph">
    <w:name w:val="List Paragraph"/>
    <w:basedOn w:val="Normal"/>
    <w:uiPriority w:val="34"/>
    <w:qFormat/>
    <w:rsid w:val="00F10D68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290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2026-04-15T09:04:00Z</dcterms:created>
  <dcterms:modified xsi:type="dcterms:W3CDTF">2026-04-15T09:04:00Z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