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7FC8" w14:paraId="7D904B2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DC7DC8" w14:textId="77777777" w:rsidR="00751A4A" w:rsidRPr="005D7FC8" w:rsidRDefault="00CB1804" w:rsidP="0010095E">
            <w:pPr>
              <w:pStyle w:val="EPName"/>
            </w:pPr>
            <w:r w:rsidRPr="005D7FC8">
              <w:t>Európsky parlament</w:t>
            </w:r>
          </w:p>
          <w:p w14:paraId="1ED24FA7" w14:textId="77777777" w:rsidR="00751A4A" w:rsidRPr="005D7F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7FC8">
              <w:t>2024</w:t>
            </w:r>
            <w:r w:rsidR="00817416" w:rsidRPr="005D7FC8">
              <w:t>-202</w:t>
            </w:r>
            <w:r w:rsidRPr="005D7FC8">
              <w:t>9</w:t>
            </w:r>
          </w:p>
        </w:tc>
        <w:tc>
          <w:tcPr>
            <w:tcW w:w="2268" w:type="dxa"/>
            <w:shd w:val="clear" w:color="auto" w:fill="auto"/>
          </w:tcPr>
          <w:p w14:paraId="05468606" w14:textId="77777777" w:rsidR="00751A4A" w:rsidRPr="005D7FC8" w:rsidRDefault="00187494" w:rsidP="0010095E">
            <w:pPr>
              <w:pStyle w:val="EPLogo"/>
            </w:pPr>
            <w:r w:rsidRPr="005D7FC8">
              <w:rPr>
                <w:noProof/>
                <w:lang w:eastAsia="ja-JP"/>
              </w:rPr>
              <w:drawing>
                <wp:inline distT="0" distB="0" distL="0" distR="0" wp14:anchorId="5B5262BC" wp14:editId="02A2BD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0E3A0" w14:textId="77777777" w:rsidR="00D058B8" w:rsidRPr="005D7FC8" w:rsidRDefault="00D058B8" w:rsidP="004C5D52">
      <w:pPr>
        <w:pStyle w:val="LineTop"/>
      </w:pPr>
    </w:p>
    <w:p w14:paraId="6E4948B7" w14:textId="77777777" w:rsidR="00680577" w:rsidRPr="005D7FC8" w:rsidRDefault="00CB1804" w:rsidP="00680577">
      <w:pPr>
        <w:pStyle w:val="EPBodyTA1"/>
      </w:pPr>
      <w:r w:rsidRPr="005D7FC8">
        <w:t>PRIJATÉ TEXTY</w:t>
      </w:r>
    </w:p>
    <w:p w14:paraId="0C777B49" w14:textId="77777777" w:rsidR="00D058B8" w:rsidRPr="005D7FC8" w:rsidRDefault="00D058B8" w:rsidP="00D058B8">
      <w:pPr>
        <w:pStyle w:val="LineBottom"/>
      </w:pPr>
    </w:p>
    <w:p w14:paraId="5EC15B16" w14:textId="508906F3" w:rsidR="00CB1804" w:rsidRPr="005D7FC8" w:rsidRDefault="00CB1804" w:rsidP="00CB1804">
      <w:pPr>
        <w:pStyle w:val="ATHeading1"/>
      </w:pPr>
      <w:bookmarkStart w:id="0" w:name="TANumber"/>
      <w:r w:rsidRPr="005D7FC8">
        <w:t>P10_TA(2026)00</w:t>
      </w:r>
      <w:r w:rsidR="004C0A78" w:rsidRPr="005D7FC8">
        <w:t>29</w:t>
      </w:r>
      <w:bookmarkEnd w:id="0"/>
    </w:p>
    <w:p w14:paraId="3AD04458" w14:textId="77777777" w:rsidR="00CB1804" w:rsidRPr="005D7FC8" w:rsidRDefault="00CB1804" w:rsidP="00CB1804">
      <w:pPr>
        <w:pStyle w:val="ATHeading2"/>
      </w:pPr>
      <w:bookmarkStart w:id="1" w:name="title"/>
      <w:r w:rsidRPr="005D7FC8">
        <w:t>Zmena smernice o meradlách</w:t>
      </w:r>
      <w:bookmarkEnd w:id="1"/>
    </w:p>
    <w:p w14:paraId="62DAA647" w14:textId="77777777" w:rsidR="00CB1804" w:rsidRPr="005D7FC8" w:rsidRDefault="00CB1804" w:rsidP="00CB1804">
      <w:pPr>
        <w:rPr>
          <w:i/>
          <w:vanish/>
        </w:rPr>
      </w:pPr>
      <w:r w:rsidRPr="005D7FC8">
        <w:rPr>
          <w:i/>
        </w:rPr>
        <w:fldChar w:fldCharType="begin"/>
      </w:r>
      <w:r w:rsidRPr="005D7FC8">
        <w:rPr>
          <w:i/>
        </w:rPr>
        <w:instrText xml:space="preserve"> TC"(</w:instrText>
      </w:r>
      <w:bookmarkStart w:id="2" w:name="DocNumber"/>
      <w:r w:rsidRPr="005D7FC8">
        <w:rPr>
          <w:i/>
        </w:rPr>
        <w:instrText>A10-0173/2025</w:instrText>
      </w:r>
      <w:bookmarkEnd w:id="2"/>
      <w:r w:rsidRPr="005D7FC8">
        <w:rPr>
          <w:i/>
        </w:rPr>
        <w:instrText xml:space="preserve"> - Spravodajkyňa: </w:instrText>
      </w:r>
      <w:proofErr w:type="spellStart"/>
      <w:r w:rsidRPr="005D7FC8">
        <w:rPr>
          <w:i/>
        </w:rPr>
        <w:instrText>Zala</w:instrText>
      </w:r>
      <w:proofErr w:type="spellEnd"/>
      <w:r w:rsidRPr="005D7FC8">
        <w:rPr>
          <w:i/>
        </w:rPr>
        <w:instrText xml:space="preserve"> </w:instrText>
      </w:r>
      <w:proofErr w:type="spellStart"/>
      <w:r w:rsidRPr="005D7FC8">
        <w:rPr>
          <w:i/>
        </w:rPr>
        <w:instrText>Tomašič</w:instrText>
      </w:r>
      <w:proofErr w:type="spellEnd"/>
      <w:r w:rsidRPr="005D7FC8">
        <w:rPr>
          <w:i/>
        </w:rPr>
        <w:instrText xml:space="preserve">)"\l3 \n&gt; \* MERGEFORMAT </w:instrText>
      </w:r>
      <w:r w:rsidRPr="005D7FC8">
        <w:rPr>
          <w:i/>
        </w:rPr>
        <w:fldChar w:fldCharType="end"/>
      </w:r>
    </w:p>
    <w:p w14:paraId="7929E87A" w14:textId="77777777" w:rsidR="00CB1804" w:rsidRPr="005D7FC8" w:rsidRDefault="00CB1804" w:rsidP="00CB1804">
      <w:pPr>
        <w:rPr>
          <w:vanish/>
        </w:rPr>
      </w:pPr>
      <w:bookmarkStart w:id="3" w:name="Commission"/>
      <w:r w:rsidRPr="005D7FC8">
        <w:rPr>
          <w:vanish/>
        </w:rPr>
        <w:t>Výbor pre vnútorný trh a ochranu spotrebiteľa</w:t>
      </w:r>
      <w:bookmarkEnd w:id="3"/>
    </w:p>
    <w:p w14:paraId="57C885BB" w14:textId="77777777" w:rsidR="00CB1804" w:rsidRPr="005D7FC8" w:rsidRDefault="00CB1804" w:rsidP="00CB1804">
      <w:pPr>
        <w:rPr>
          <w:vanish/>
        </w:rPr>
      </w:pPr>
      <w:bookmarkStart w:id="4" w:name="PE"/>
      <w:r w:rsidRPr="005D7FC8">
        <w:rPr>
          <w:vanish/>
        </w:rPr>
        <w:t>PE773.060</w:t>
      </w:r>
      <w:bookmarkEnd w:id="4"/>
    </w:p>
    <w:p w14:paraId="42BF490D" w14:textId="52C8F605" w:rsidR="00CB1804" w:rsidRPr="005D7FC8" w:rsidRDefault="00CB1804" w:rsidP="00CB1804">
      <w:pPr>
        <w:pStyle w:val="ATHeading3"/>
      </w:pPr>
      <w:bookmarkStart w:id="5" w:name="Sujet"/>
      <w:r w:rsidRPr="005D7FC8">
        <w:t xml:space="preserve">Legislatívne uznesenie Európskeho parlamentu z </w:t>
      </w:r>
      <w:r w:rsidR="0065049F" w:rsidRPr="005D7FC8">
        <w:t>10</w:t>
      </w:r>
      <w:r w:rsidRPr="005D7FC8">
        <w:t xml:space="preserve">. </w:t>
      </w:r>
      <w:r w:rsidR="000B143B" w:rsidRPr="005D7FC8">
        <w:t>februára</w:t>
      </w:r>
      <w:r w:rsidRPr="005D7FC8">
        <w:t xml:space="preserve"> 2026 o návrhu smernice Európskeho parlamentu a Rady, ktorou sa mení smernica 2014/32/EÚ, pokiaľ ide o vybavenie na napájanie elektrických vozidiel, dávkovače stlačeného plynu a elektromery, plynomery a merače tepla</w:t>
      </w:r>
      <w:bookmarkEnd w:id="5"/>
      <w:r w:rsidRPr="005D7FC8">
        <w:t xml:space="preserve"> </w:t>
      </w:r>
      <w:bookmarkStart w:id="6" w:name="References"/>
      <w:r w:rsidRPr="005D7FC8">
        <w:t>(COM(2024)0561 – C10-0205/2024 – 2024/0311(COD))</w:t>
      </w:r>
      <w:bookmarkEnd w:id="6"/>
    </w:p>
    <w:p w14:paraId="738EF463" w14:textId="77777777" w:rsidR="00030E0E" w:rsidRPr="005D7FC8" w:rsidRDefault="00030E0E" w:rsidP="00030E0E">
      <w:pPr>
        <w:pStyle w:val="NormalBold"/>
      </w:pPr>
      <w:r w:rsidRPr="005D7FC8">
        <w:t>(Riadny legislatívny postup: prvé čítanie)</w:t>
      </w:r>
    </w:p>
    <w:p w14:paraId="4E427393" w14:textId="77777777" w:rsidR="00030E0E" w:rsidRPr="005D7FC8" w:rsidRDefault="00030E0E" w:rsidP="00030E0E">
      <w:pPr>
        <w:pStyle w:val="EPComma"/>
      </w:pPr>
      <w:r w:rsidRPr="005D7FC8">
        <w:rPr>
          <w:i/>
        </w:rPr>
        <w:t>Európsky parlament</w:t>
      </w:r>
      <w:r w:rsidRPr="005D7FC8">
        <w:t>,</w:t>
      </w:r>
    </w:p>
    <w:p w14:paraId="6658A0BF" w14:textId="77777777" w:rsidR="00030E0E" w:rsidRPr="005D7FC8" w:rsidRDefault="00030E0E" w:rsidP="00030E0E">
      <w:pPr>
        <w:pStyle w:val="NormalHanging12a"/>
      </w:pPr>
      <w:r w:rsidRPr="005D7FC8">
        <w:t>–</w:t>
      </w:r>
      <w:r w:rsidRPr="005D7FC8">
        <w:tab/>
        <w:t>so zreteľom na návrh Komisie pre Európsky parlament a Radu (COM(2024)0561),</w:t>
      </w:r>
    </w:p>
    <w:p w14:paraId="711BB120" w14:textId="77777777" w:rsidR="00030E0E" w:rsidRPr="005D7FC8" w:rsidRDefault="00030E0E" w:rsidP="00030E0E">
      <w:pPr>
        <w:pStyle w:val="NormalHanging12a"/>
      </w:pPr>
      <w:r w:rsidRPr="005D7FC8">
        <w:t>–</w:t>
      </w:r>
      <w:r w:rsidRPr="005D7FC8">
        <w:tab/>
        <w:t>so zreteľom na článok 294 ods. 2 a článok 114 Zmluvy o fungovaní Európskej únie, v súlade s ktorými Komisia predložila návrh Európskemu parlamentu (C10</w:t>
      </w:r>
      <w:r w:rsidRPr="005D7FC8">
        <w:noBreakHyphen/>
        <w:t>0205/2024),</w:t>
      </w:r>
    </w:p>
    <w:p w14:paraId="4E670E7D" w14:textId="77777777" w:rsidR="00030E0E" w:rsidRPr="005D7FC8" w:rsidRDefault="00030E0E" w:rsidP="00030E0E">
      <w:pPr>
        <w:pStyle w:val="NormalHanging12a"/>
      </w:pPr>
      <w:r w:rsidRPr="005D7FC8">
        <w:t>–</w:t>
      </w:r>
      <w:r w:rsidRPr="005D7FC8">
        <w:tab/>
        <w:t>so zreteľom na článok 294 ods. 3 Zmluvy o fungovaní Európskej únie,</w:t>
      </w:r>
    </w:p>
    <w:p w14:paraId="3A555A49" w14:textId="77777777" w:rsidR="00030E0E" w:rsidRPr="005D7FC8" w:rsidRDefault="00030E0E" w:rsidP="00030E0E">
      <w:pPr>
        <w:pStyle w:val="NormalHanging12a"/>
      </w:pPr>
      <w:r w:rsidRPr="005D7FC8">
        <w:t>–</w:t>
      </w:r>
      <w:r w:rsidRPr="005D7FC8">
        <w:tab/>
        <w:t>so zreteľom na stanovisko Európskeho hospodárskeho a sociálneho výboru z 22. januára 2025</w:t>
      </w:r>
      <w:r w:rsidRPr="005D7FC8">
        <w:rPr>
          <w:rStyle w:val="FootnoteReference"/>
        </w:rPr>
        <w:footnoteReference w:id="1"/>
      </w:r>
      <w:r w:rsidRPr="005D7FC8">
        <w:t>,</w:t>
      </w:r>
    </w:p>
    <w:p w14:paraId="0FB7952D" w14:textId="00565E82" w:rsidR="00060FE0" w:rsidRPr="005D7FC8" w:rsidRDefault="00060FE0" w:rsidP="00060FE0">
      <w:pPr>
        <w:pStyle w:val="NormalHanging12a"/>
      </w:pPr>
      <w:r w:rsidRPr="005D7FC8">
        <w:t>–</w:t>
      </w:r>
      <w:r w:rsidRPr="005D7FC8">
        <w:tab/>
        <w:t>so zreteľom na predbežnú dohodu schválenú gestorským výborom podľa článku 75 ods. 4 rokovacieho poriadku, a na záväzok zástupcu Rady, vyjadrený v liste z</w:t>
      </w:r>
      <w:r w:rsidR="0065049F" w:rsidRPr="005D7FC8">
        <w:t> 26. novembra 2025</w:t>
      </w:r>
      <w:r w:rsidRPr="005D7FC8">
        <w:t>, schváliť pozíciu Európskeho parlamentu v súlade s článkom 294 ods. 4 Zmluvy o fungovaní Európskej únie,</w:t>
      </w:r>
    </w:p>
    <w:p w14:paraId="777585A6" w14:textId="77777777" w:rsidR="00030E0E" w:rsidRPr="005D7FC8" w:rsidRDefault="00030E0E" w:rsidP="00030E0E">
      <w:pPr>
        <w:pStyle w:val="NormalHanging12a"/>
      </w:pPr>
      <w:r w:rsidRPr="005D7FC8">
        <w:t>–</w:t>
      </w:r>
      <w:r w:rsidRPr="005D7FC8">
        <w:tab/>
        <w:t>so zreteľom na článok 60 rokovacieho poriadku,</w:t>
      </w:r>
    </w:p>
    <w:p w14:paraId="7295170E" w14:textId="77777777" w:rsidR="00030E0E" w:rsidRPr="005D7FC8" w:rsidRDefault="00030E0E" w:rsidP="00030E0E">
      <w:pPr>
        <w:pStyle w:val="NormalHanging12a"/>
      </w:pPr>
      <w:r w:rsidRPr="005D7FC8">
        <w:t>–</w:t>
      </w:r>
      <w:r w:rsidRPr="005D7FC8">
        <w:tab/>
        <w:t>so zreteľom na správu Výboru pre vnútorný trh a ochranu spotrebiteľa (A10-0173/2025),</w:t>
      </w:r>
    </w:p>
    <w:p w14:paraId="5CA267B3" w14:textId="77777777" w:rsidR="00030E0E" w:rsidRPr="005D7FC8" w:rsidRDefault="00030E0E" w:rsidP="00030E0E">
      <w:pPr>
        <w:pStyle w:val="NormalHanging12a"/>
      </w:pPr>
      <w:r w:rsidRPr="005D7FC8">
        <w:t>1.</w:t>
      </w:r>
      <w:r w:rsidRPr="005D7FC8">
        <w:tab/>
        <w:t>prijíma nasledujúcu pozíciu v prvom čítaní;</w:t>
      </w:r>
    </w:p>
    <w:p w14:paraId="5D71225B" w14:textId="77777777" w:rsidR="00030E0E" w:rsidRPr="005D7FC8" w:rsidRDefault="00030E0E" w:rsidP="00030E0E">
      <w:pPr>
        <w:pStyle w:val="NormalHanging12a"/>
      </w:pPr>
      <w:r w:rsidRPr="005D7FC8">
        <w:t>2.</w:t>
      </w:r>
      <w:r w:rsidRPr="005D7FC8">
        <w:tab/>
        <w:t xml:space="preserve">žiada Komisiu, aby mu vec znovu predložila, ak nahrádza, podstatne mení alebo má </w:t>
      </w:r>
      <w:r w:rsidRPr="005D7FC8">
        <w:lastRenderedPageBreak/>
        <w:t>v úmysle podstatne zmeniť svoj návrh;</w:t>
      </w:r>
    </w:p>
    <w:p w14:paraId="583FDF37" w14:textId="77777777" w:rsidR="00030E0E" w:rsidRPr="005D7FC8" w:rsidRDefault="00030E0E" w:rsidP="00030E0E">
      <w:pPr>
        <w:pStyle w:val="NormalHanging12a"/>
      </w:pPr>
      <w:r w:rsidRPr="005D7FC8">
        <w:t>3.</w:t>
      </w:r>
      <w:r w:rsidRPr="005D7FC8">
        <w:tab/>
        <w:t>poveruje svoju predsedníčku, aby postúpila túto pozíciu Rade, Komisii a národným parlamentom.</w:t>
      </w:r>
    </w:p>
    <w:p w14:paraId="4E12B4EB" w14:textId="77777777" w:rsidR="00261BC7" w:rsidRPr="005D7FC8" w:rsidRDefault="00261BC7" w:rsidP="00261BC7">
      <w:pPr>
        <w:pStyle w:val="AmNumberTabs0"/>
        <w:sectPr w:rsidR="00261BC7" w:rsidRPr="005D7FC8" w:rsidSect="00E722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5B42F4F" w14:textId="4EEB77C2" w:rsidR="00261BC7" w:rsidRPr="005D7FC8" w:rsidRDefault="00261BC7" w:rsidP="00261BC7">
      <w:pPr>
        <w:pStyle w:val="AmNumberTabs0"/>
      </w:pPr>
      <w:r w:rsidRPr="005D7FC8">
        <w:lastRenderedPageBreak/>
        <w:t>P10_TC1-COD(2024)0311</w:t>
      </w:r>
    </w:p>
    <w:p w14:paraId="1E31CBEE" w14:textId="77777777" w:rsidR="00261BC7" w:rsidRDefault="00261BC7" w:rsidP="00261BC7">
      <w:pPr>
        <w:widowControl/>
        <w:spacing w:before="120"/>
        <w:rPr>
          <w:b/>
          <w:bCs/>
        </w:rPr>
      </w:pPr>
      <w:r w:rsidRPr="005D7FC8">
        <w:rPr>
          <w:b/>
          <w:bCs/>
        </w:rPr>
        <w:t xml:space="preserve">Pozícia Európskeho parlamentu prijatá v prvom čítaní 10. februára 2026 na účely prijatia smernice Európskeho parlamentu a Rady (EÚ) 2026/..., ktorou sa mení smernica 2014/32/EÚ, pokiaľ ide o meracie zostavy pre nabíjanie elektrických vozidiel a meracie zostavy pre stlačený plyn a elektromery, plynomery a merače tepelnej energie </w:t>
      </w:r>
    </w:p>
    <w:p w14:paraId="60802DC2" w14:textId="77777777" w:rsidR="00571DB6" w:rsidRDefault="00571DB6" w:rsidP="00261BC7">
      <w:pPr>
        <w:widowControl/>
        <w:spacing w:before="120"/>
        <w:rPr>
          <w:b/>
          <w:bCs/>
        </w:rPr>
      </w:pPr>
    </w:p>
    <w:p w14:paraId="6EEA2702" w14:textId="77777777" w:rsidR="00571DB6" w:rsidRDefault="00571DB6" w:rsidP="00261BC7">
      <w:pPr>
        <w:widowControl/>
        <w:spacing w:before="120"/>
        <w:rPr>
          <w:b/>
          <w:bCs/>
        </w:rPr>
      </w:pPr>
    </w:p>
    <w:p w14:paraId="75DB59FB" w14:textId="4F69ED73" w:rsidR="00571DB6" w:rsidRPr="00731EF8" w:rsidRDefault="00571DB6" w:rsidP="00571DB6">
      <w:r w:rsidRPr="00731EF8">
        <w:rPr>
          <w:i/>
          <w:iCs/>
        </w:rPr>
        <w:t xml:space="preserve">(Keďže bola dosiahnutá dohoda medzi Európskym parlamentom a Radou, pozícia </w:t>
      </w:r>
      <w:r w:rsidRPr="00282CA7">
        <w:rPr>
          <w:i/>
          <w:iCs/>
        </w:rPr>
        <w:t xml:space="preserve">Európskeho parlamentu zodpovedá záverečnému legislatívnemu aktu, </w:t>
      </w:r>
      <w:r>
        <w:rPr>
          <w:i/>
          <w:iCs/>
        </w:rPr>
        <w:t>smernici</w:t>
      </w:r>
      <w:r w:rsidRPr="00282CA7">
        <w:rPr>
          <w:i/>
          <w:iCs/>
        </w:rPr>
        <w:t xml:space="preserve"> (EÚ) 2026/</w:t>
      </w:r>
      <w:r>
        <w:rPr>
          <w:i/>
          <w:iCs/>
        </w:rPr>
        <w:t>706</w:t>
      </w:r>
      <w:r w:rsidRPr="00282CA7">
        <w:rPr>
          <w:i/>
          <w:iCs/>
        </w:rPr>
        <w:t>.)</w:t>
      </w:r>
    </w:p>
    <w:p w14:paraId="2D20B01D" w14:textId="77777777" w:rsidR="00571DB6" w:rsidRDefault="00571DB6" w:rsidP="00261BC7">
      <w:pPr>
        <w:widowControl/>
        <w:spacing w:before="120"/>
        <w:rPr>
          <w:b/>
          <w:bCs/>
        </w:rPr>
      </w:pPr>
    </w:p>
    <w:sectPr w:rsidR="00571DB6" w:rsidSect="00E7223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5C64F" w14:textId="77777777" w:rsidR="00CB1804" w:rsidRPr="00E72232" w:rsidRDefault="00CB1804">
      <w:r w:rsidRPr="00E72232">
        <w:separator/>
      </w:r>
    </w:p>
  </w:endnote>
  <w:endnote w:type="continuationSeparator" w:id="0">
    <w:p w14:paraId="3F1F39AA" w14:textId="77777777" w:rsidR="00CB1804" w:rsidRPr="00E72232" w:rsidRDefault="00CB1804">
      <w:r w:rsidRPr="00E722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4E690" w14:textId="77777777" w:rsidR="00064002" w:rsidRPr="00E7223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1636B" w14:textId="77777777" w:rsidR="00064002" w:rsidRPr="00E7223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7E824" w14:textId="77777777" w:rsidR="00064002" w:rsidRPr="00E722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6DA9C" w14:textId="77777777" w:rsidR="00CB1804" w:rsidRPr="00E72232" w:rsidRDefault="00CB1804">
      <w:r w:rsidRPr="00E72232">
        <w:separator/>
      </w:r>
    </w:p>
  </w:footnote>
  <w:footnote w:type="continuationSeparator" w:id="0">
    <w:p w14:paraId="368289D9" w14:textId="77777777" w:rsidR="00CB1804" w:rsidRPr="00E72232" w:rsidRDefault="00CB1804">
      <w:r w:rsidRPr="00E72232">
        <w:continuationSeparator/>
      </w:r>
    </w:p>
  </w:footnote>
  <w:footnote w:id="1">
    <w:p w14:paraId="3369148C" w14:textId="622E034C" w:rsidR="00030E0E" w:rsidRPr="00261BC7" w:rsidRDefault="00030E0E" w:rsidP="00E72232">
      <w:pPr>
        <w:pStyle w:val="FootnoteText"/>
        <w:ind w:left="567" w:hanging="567"/>
        <w:rPr>
          <w:sz w:val="24"/>
          <w:lang w:val="sk-SK"/>
        </w:rPr>
      </w:pPr>
      <w:r w:rsidRPr="00261BC7">
        <w:rPr>
          <w:rStyle w:val="FootnoteReference"/>
          <w:sz w:val="24"/>
          <w:lang w:val="sk-SK"/>
        </w:rPr>
        <w:footnoteRef/>
      </w:r>
      <w:r w:rsidR="00E72232" w:rsidRPr="00261BC7">
        <w:rPr>
          <w:sz w:val="24"/>
          <w:lang w:val="sk-SK"/>
        </w:rPr>
        <w:t xml:space="preserve"> </w:t>
      </w:r>
      <w:r w:rsidR="00E72232" w:rsidRPr="00261BC7">
        <w:rPr>
          <w:sz w:val="24"/>
          <w:lang w:val="sk-SK"/>
        </w:rPr>
        <w:tab/>
      </w:r>
      <w:r w:rsidRPr="00261BC7">
        <w:rPr>
          <w:sz w:val="24"/>
          <w:lang w:val="sk-SK"/>
        </w:rPr>
        <w:t xml:space="preserve">Ú. v. EÚ C, C/2025/1192, 21.3.2025, ELI: </w:t>
      </w:r>
      <w:hyperlink r:id="rId1" w:history="1">
        <w:r w:rsidRPr="00261BC7">
          <w:rPr>
            <w:rStyle w:val="Hyperlink"/>
            <w:sz w:val="24"/>
            <w:lang w:val="sk-SK"/>
          </w:rPr>
          <w:t>https://eur-lex.europa.eu/eli/C/2025/1192/oj</w:t>
        </w:r>
      </w:hyperlink>
      <w:r w:rsidRPr="00261BC7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82FC" w14:textId="77777777" w:rsidR="00064002" w:rsidRPr="00E722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4549" w14:textId="77777777" w:rsidR="00064002" w:rsidRPr="00E722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C9AF2" w14:textId="77777777" w:rsidR="00064002" w:rsidRPr="00E722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383407719">
    <w:abstractNumId w:val="0"/>
  </w:num>
  <w:num w:numId="2" w16cid:durableId="974064420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SK"/>
    <w:docVar w:name="dvnumam" w:val="23"/>
    <w:docVar w:name="dvpe" w:val="773.060"/>
    <w:docVar w:name="dvrapporteur" w:val="Spravodajkyňa: "/>
    <w:docVar w:name="dvstar" w:val="***I"/>
    <w:docVar w:name="dvtitre" w:val="Legislatívne uznesenie Európskeho parlamentu z/zo xx. xxx 2026 o návrhu smernice Európskeho parlamentu a Rady, ktorou sa mení smernica 2014/32/EÚ, pokiaľ ide o vybavenie na napájanie elektrických vozidiel, dávkovače stlačeného plynu a elektromery, plynomery a merače tepla(COM(2024)0561 – C10-0205/2024 – 2024/0311(COD))"/>
  </w:docVars>
  <w:rsids>
    <w:rsidRoot w:val="00CB1804"/>
    <w:rsid w:val="00002272"/>
    <w:rsid w:val="00021B11"/>
    <w:rsid w:val="00030E0E"/>
    <w:rsid w:val="00060FE0"/>
    <w:rsid w:val="00064002"/>
    <w:rsid w:val="000677B9"/>
    <w:rsid w:val="000831BA"/>
    <w:rsid w:val="000A42CC"/>
    <w:rsid w:val="000B143B"/>
    <w:rsid w:val="000E7DD9"/>
    <w:rsid w:val="0010095E"/>
    <w:rsid w:val="00125B37"/>
    <w:rsid w:val="00187494"/>
    <w:rsid w:val="001F32AE"/>
    <w:rsid w:val="00261BC7"/>
    <w:rsid w:val="002767FF"/>
    <w:rsid w:val="002B18FE"/>
    <w:rsid w:val="002B5493"/>
    <w:rsid w:val="00317096"/>
    <w:rsid w:val="00343214"/>
    <w:rsid w:val="003616E9"/>
    <w:rsid w:val="00361C00"/>
    <w:rsid w:val="00395FA1"/>
    <w:rsid w:val="003E15D4"/>
    <w:rsid w:val="003E3BCC"/>
    <w:rsid w:val="00411CCE"/>
    <w:rsid w:val="0041666E"/>
    <w:rsid w:val="00421060"/>
    <w:rsid w:val="00471C19"/>
    <w:rsid w:val="004867E3"/>
    <w:rsid w:val="00494A28"/>
    <w:rsid w:val="004C0004"/>
    <w:rsid w:val="004C0A78"/>
    <w:rsid w:val="004C5D52"/>
    <w:rsid w:val="0050519A"/>
    <w:rsid w:val="005072A1"/>
    <w:rsid w:val="00514517"/>
    <w:rsid w:val="00545827"/>
    <w:rsid w:val="00560270"/>
    <w:rsid w:val="00571DB6"/>
    <w:rsid w:val="005C2568"/>
    <w:rsid w:val="005D7FC8"/>
    <w:rsid w:val="005F1B17"/>
    <w:rsid w:val="006037C0"/>
    <w:rsid w:val="0065049F"/>
    <w:rsid w:val="006631B6"/>
    <w:rsid w:val="00665EE3"/>
    <w:rsid w:val="00680577"/>
    <w:rsid w:val="006C6D55"/>
    <w:rsid w:val="006F74FA"/>
    <w:rsid w:val="00731ADD"/>
    <w:rsid w:val="00734777"/>
    <w:rsid w:val="00747932"/>
    <w:rsid w:val="00751A4A"/>
    <w:rsid w:val="00756632"/>
    <w:rsid w:val="0075684C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2CD"/>
    <w:rsid w:val="00A167A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9A0"/>
    <w:rsid w:val="00B558F0"/>
    <w:rsid w:val="00BA1016"/>
    <w:rsid w:val="00BD48FE"/>
    <w:rsid w:val="00BD7BD8"/>
    <w:rsid w:val="00BE6ADC"/>
    <w:rsid w:val="00C05BFE"/>
    <w:rsid w:val="00C23CD4"/>
    <w:rsid w:val="00C61C0C"/>
    <w:rsid w:val="00C941CB"/>
    <w:rsid w:val="00CB1804"/>
    <w:rsid w:val="00CC2357"/>
    <w:rsid w:val="00CC6204"/>
    <w:rsid w:val="00CF071A"/>
    <w:rsid w:val="00D01236"/>
    <w:rsid w:val="00D058B8"/>
    <w:rsid w:val="00D232C0"/>
    <w:rsid w:val="00D56C11"/>
    <w:rsid w:val="00D834A0"/>
    <w:rsid w:val="00D872DF"/>
    <w:rsid w:val="00D91E21"/>
    <w:rsid w:val="00DA7FCD"/>
    <w:rsid w:val="00E365E1"/>
    <w:rsid w:val="00E7223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910"/>
    <w:rsid w:val="00F62B3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2FCEBA"/>
  <w15:chartTrackingRefBased/>
  <w15:docId w15:val="{81B0B7BB-2669-4B63-BD80-5CFE0964E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30E0E"/>
    <w:rPr>
      <w:b/>
    </w:rPr>
  </w:style>
  <w:style w:type="paragraph" w:customStyle="1" w:styleId="NormalHanging12a">
    <w:name w:val="NormalHanging12a"/>
    <w:basedOn w:val="Normal"/>
    <w:rsid w:val="00030E0E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030E0E"/>
    <w:pPr>
      <w:spacing w:before="240"/>
    </w:pPr>
    <w:rPr>
      <w:b/>
    </w:rPr>
  </w:style>
  <w:style w:type="paragraph" w:customStyle="1" w:styleId="EPComma">
    <w:name w:val="EPComma"/>
    <w:basedOn w:val="Normal"/>
    <w:rsid w:val="00030E0E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030E0E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030E0E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030E0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30E0E"/>
    <w:rPr>
      <w:b/>
      <w:sz w:val="24"/>
      <w:lang w:val="sk-SK"/>
    </w:rPr>
  </w:style>
  <w:style w:type="paragraph" w:customStyle="1" w:styleId="ColumnHeading">
    <w:name w:val="ColumnHeading"/>
    <w:basedOn w:val="Normal"/>
    <w:rsid w:val="00030E0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30E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0B143B"/>
    <w:rPr>
      <w:sz w:val="24"/>
      <w:lang w:val="sk-SK"/>
    </w:rPr>
  </w:style>
  <w:style w:type="paragraph" w:customStyle="1" w:styleId="AmNumberTabs0">
    <w:name w:val="AmNumberTabs"/>
    <w:basedOn w:val="Normal"/>
    <w:rsid w:val="00261BC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IntrtEEE">
    <w:name w:val="Intérêt EEE"/>
    <w:basedOn w:val="Normal"/>
    <w:next w:val="Normal"/>
    <w:rsid w:val="00261BC7"/>
    <w:pPr>
      <w:widowControl/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261B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BC7"/>
    <w:rPr>
      <w:sz w:val="24"/>
      <w:lang w:val="sk-SK"/>
    </w:rPr>
  </w:style>
  <w:style w:type="paragraph" w:customStyle="1" w:styleId="AmDocTypeTab">
    <w:name w:val="AmDocTypeTab"/>
    <w:basedOn w:val="Normal"/>
    <w:rsid w:val="00261BC7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261BC7"/>
    <w:pPr>
      <w:spacing w:after="240"/>
    </w:pPr>
  </w:style>
  <w:style w:type="paragraph" w:customStyle="1" w:styleId="EPFooter2">
    <w:name w:val="EPFooter2"/>
    <w:basedOn w:val="Normal"/>
    <w:next w:val="Normal"/>
    <w:rsid w:val="00261BC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261BC7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261BC7"/>
    <w:pPr>
      <w:spacing w:after="240"/>
      <w:jc w:val="center"/>
    </w:pPr>
  </w:style>
  <w:style w:type="paragraph" w:customStyle="1" w:styleId="AmDateTab">
    <w:name w:val="AmDateTab"/>
    <w:basedOn w:val="Normal"/>
    <w:rsid w:val="00261BC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61BC7"/>
    <w:pPr>
      <w:spacing w:before="720" w:after="240"/>
      <w:jc w:val="center"/>
    </w:pPr>
  </w:style>
  <w:style w:type="paragraph" w:customStyle="1" w:styleId="EPFooter">
    <w:name w:val="EPFooter"/>
    <w:basedOn w:val="Normal"/>
    <w:rsid w:val="00261BC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261BC7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261B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BC7"/>
    <w:rPr>
      <w:sz w:val="24"/>
      <w:lang w:val="sk-SK"/>
    </w:rPr>
  </w:style>
  <w:style w:type="character" w:customStyle="1" w:styleId="Heading1Char">
    <w:name w:val="Heading 1 Char"/>
    <w:basedOn w:val="DefaultParagraphFont"/>
    <w:link w:val="Heading1"/>
    <w:uiPriority w:val="9"/>
    <w:rsid w:val="00261BC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61BC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BC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BC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BC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BC7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BC7"/>
    <w:rPr>
      <w:rFonts w:ascii="Arial" w:hAnsi="Arial"/>
      <w:sz w:val="24"/>
      <w:lang w:val="sk-SK"/>
    </w:rPr>
  </w:style>
  <w:style w:type="paragraph" w:styleId="TOC4">
    <w:name w:val="toc 4"/>
    <w:basedOn w:val="Normal"/>
    <w:next w:val="Normal"/>
    <w:uiPriority w:val="39"/>
    <w:unhideWhenUsed/>
    <w:rsid w:val="00261BC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61BC7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61BC7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61BC7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61BC7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61BC7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261BC7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261BC7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261BC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61BC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61BC7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261BC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61BC7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61BC7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61BC7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261BC7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261BC7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261BC7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261BC7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261BC7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261BC7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261BC7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261BC7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61BC7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261BC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261BC7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261BC7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61BC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61BC7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61BC7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61BC7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261BC7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261BC7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261BC7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261BC7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261BC7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261BC7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261BC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261BC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261BC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261BC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261BC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261BC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261BC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261BC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261BC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261BC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261BC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261BC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261BC7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261BC7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261BC7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261BC7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261BC7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261BC7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261BC7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261BC7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261BC7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261BC7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261BC7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261BC7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261BC7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261BC7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261BC7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261BC7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61BC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61BC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61BC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61BC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61BC7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61BC7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61BC7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261BC7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61BC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61BC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61BC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61BC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61BC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61BC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61BC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61BC7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61BC7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61BC7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61BC7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261BC7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61BC7"/>
    <w:pPr>
      <w:widowControl/>
      <w:numPr>
        <w:ilvl w:val="2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261BC7"/>
    <w:pPr>
      <w:widowControl/>
      <w:numPr>
        <w:ilvl w:val="4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61BC7"/>
    <w:pPr>
      <w:widowControl/>
      <w:numPr>
        <w:ilvl w:val="6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61BC7"/>
    <w:pPr>
      <w:widowControl/>
      <w:numPr>
        <w:ilvl w:val="1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261BC7"/>
    <w:pPr>
      <w:widowControl/>
      <w:numPr>
        <w:ilvl w:val="3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61BC7"/>
    <w:pPr>
      <w:widowControl/>
      <w:numPr>
        <w:ilvl w:val="5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61BC7"/>
    <w:pPr>
      <w:widowControl/>
      <w:numPr>
        <w:ilvl w:val="7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61BC7"/>
    <w:pPr>
      <w:widowControl/>
      <w:numPr>
        <w:ilvl w:val="8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261BC7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261BC7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261BC7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261BC7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261BC7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261BC7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261BC7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261BC7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261BC7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61BC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61BC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61BC7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261BC7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61BC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61BC7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61BC7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61BC7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61BC7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61BC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61BC7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261BC7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61BC7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61BC7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261BC7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61BC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61BC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61BC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61BC7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261BC7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261BC7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261BC7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261BC7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261BC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261BC7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61BC7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261BC7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61BC7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61BC7"/>
    <w:pPr>
      <w:spacing w:before="240"/>
    </w:pPr>
  </w:style>
  <w:style w:type="paragraph" w:customStyle="1" w:styleId="Accordtitre">
    <w:name w:val="Accord titre"/>
    <w:basedOn w:val="Normal"/>
    <w:rsid w:val="00261BC7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261BC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261BC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61BC7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61BC7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261BC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61BC7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61BC7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61BC7"/>
    <w:rPr>
      <w:rFonts w:eastAsiaTheme="minorHAns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261BC7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61BC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61BC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61BC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61BC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61BC7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61BC7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61BC7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61BC7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61BC7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61BC7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61BC7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61BC7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61BC7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61BC7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61BC7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61BC7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61BC7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61BC7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61BC7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61BC7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61BC7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61BC7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61BC7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61BC7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61BC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61BC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261BC7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261BC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61BC7"/>
    <w:pPr>
      <w:pBdr>
        <w:top w:val="none" w:sz="0" w:space="0" w:color="auto"/>
        <w:left w:val="single" w:sz="4" w:space="20" w:color="auto"/>
      </w:pBdr>
    </w:pPr>
  </w:style>
  <w:style w:type="paragraph" w:styleId="CommentText">
    <w:name w:val="annotation text"/>
    <w:basedOn w:val="Normal"/>
    <w:link w:val="CommentTextChar"/>
    <w:uiPriority w:val="99"/>
    <w:unhideWhenUsed/>
    <w:rsid w:val="00261BC7"/>
    <w:pPr>
      <w:widowControl/>
      <w:spacing w:before="120" w:after="120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1BC7"/>
    <w:rPr>
      <w:rFonts w:eastAsiaTheme="minorHAnsi"/>
      <w:lang w:val="sk-SK" w:eastAsia="en-US"/>
    </w:rPr>
  </w:style>
  <w:style w:type="character" w:styleId="CommentReference">
    <w:name w:val="annotation reference"/>
    <w:basedOn w:val="DefaultParagraphFont"/>
    <w:uiPriority w:val="99"/>
    <w:unhideWhenUsed/>
    <w:rsid w:val="00261BC7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61BC7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61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61BC7"/>
    <w:rPr>
      <w:rFonts w:eastAsiaTheme="minorHAnsi"/>
      <w:b/>
      <w:bCs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0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2026-04-15T10:35:00Z</dcterms:created>
  <dcterms:modified xsi:type="dcterms:W3CDTF">2026-04-15T10:35:00Z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