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3FCA" w14:paraId="05DC63C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6E1A79" w14:textId="77777777" w:rsidR="00751A4A" w:rsidRPr="005F3FCA" w:rsidRDefault="00695A51" w:rsidP="0010095E">
            <w:pPr>
              <w:pStyle w:val="EPName"/>
            </w:pPr>
            <w:r w:rsidRPr="005F3FCA">
              <w:t>Evropski parlament</w:t>
            </w:r>
          </w:p>
          <w:p w14:paraId="1EFA83E7" w14:textId="77777777" w:rsidR="00751A4A" w:rsidRPr="005F3F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3FCA">
              <w:t>2024</w:t>
            </w:r>
            <w:r w:rsidR="00817416" w:rsidRPr="005F3FCA">
              <w:t>-202</w:t>
            </w:r>
            <w:r w:rsidRPr="005F3FCA">
              <w:t>9</w:t>
            </w:r>
          </w:p>
        </w:tc>
        <w:tc>
          <w:tcPr>
            <w:tcW w:w="2268" w:type="dxa"/>
            <w:shd w:val="clear" w:color="auto" w:fill="auto"/>
          </w:tcPr>
          <w:p w14:paraId="0BA2F6A2" w14:textId="77777777" w:rsidR="00751A4A" w:rsidRPr="005F3FCA" w:rsidRDefault="00187494" w:rsidP="0010095E">
            <w:pPr>
              <w:pStyle w:val="EPLogo"/>
            </w:pPr>
            <w:r w:rsidRPr="005F3FCA">
              <w:rPr>
                <w:noProof/>
                <w:lang w:eastAsia="ja-JP"/>
              </w:rPr>
              <w:drawing>
                <wp:inline distT="0" distB="0" distL="0" distR="0" wp14:anchorId="21A098D0" wp14:editId="29132FD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ED2C66" w14:textId="77777777" w:rsidR="00D058B8" w:rsidRPr="005F3FCA" w:rsidRDefault="00D058B8" w:rsidP="004C5D52">
      <w:pPr>
        <w:pStyle w:val="LineTop"/>
      </w:pPr>
    </w:p>
    <w:p w14:paraId="0FCD341A" w14:textId="77777777" w:rsidR="00680577" w:rsidRPr="005F3FCA" w:rsidRDefault="00695A51" w:rsidP="00680577">
      <w:pPr>
        <w:pStyle w:val="EPBodyTA1"/>
      </w:pPr>
      <w:r w:rsidRPr="005F3FCA">
        <w:t>SPREJETA BESEDILA</w:t>
      </w:r>
    </w:p>
    <w:p w14:paraId="4E54846A" w14:textId="77777777" w:rsidR="00D058B8" w:rsidRPr="005F3FCA" w:rsidRDefault="00D058B8" w:rsidP="00D058B8">
      <w:pPr>
        <w:pStyle w:val="LineBottom"/>
      </w:pPr>
    </w:p>
    <w:p w14:paraId="1B68AE7A" w14:textId="58E84878" w:rsidR="00695A51" w:rsidRPr="005F3FCA" w:rsidRDefault="00695A51" w:rsidP="00695A51">
      <w:pPr>
        <w:pStyle w:val="ATHeading1"/>
      </w:pPr>
      <w:bookmarkStart w:id="0" w:name="TANumber"/>
      <w:r w:rsidRPr="005F3FCA">
        <w:t>P10_TA(2026)00</w:t>
      </w:r>
      <w:bookmarkEnd w:id="0"/>
      <w:r w:rsidR="009718E5" w:rsidRPr="005F3FCA">
        <w:t>29</w:t>
      </w:r>
    </w:p>
    <w:p w14:paraId="19FA3B3D" w14:textId="62B599CD" w:rsidR="00695A51" w:rsidRPr="005F3FCA" w:rsidRDefault="003B502D" w:rsidP="00695A51">
      <w:pPr>
        <w:pStyle w:val="ATHeading2"/>
      </w:pPr>
      <w:r w:rsidRPr="005F3FCA">
        <w:t>Sprememba direktive o merilnih instrumentih</w:t>
      </w:r>
    </w:p>
    <w:p w14:paraId="2FBF607D" w14:textId="77777777" w:rsidR="00695A51" w:rsidRPr="005F3FCA" w:rsidRDefault="00695A51" w:rsidP="00695A51">
      <w:pPr>
        <w:rPr>
          <w:i/>
          <w:vanish/>
        </w:rPr>
      </w:pPr>
      <w:r w:rsidRPr="005F3FCA">
        <w:rPr>
          <w:i/>
        </w:rPr>
        <w:fldChar w:fldCharType="begin"/>
      </w:r>
      <w:r w:rsidRPr="005F3FCA">
        <w:rPr>
          <w:i/>
        </w:rPr>
        <w:instrText xml:space="preserve"> TC"(</w:instrText>
      </w:r>
      <w:bookmarkStart w:id="1" w:name="DocNumber"/>
      <w:r w:rsidRPr="005F3FCA">
        <w:rPr>
          <w:i/>
        </w:rPr>
        <w:instrText>A10-0173/2025</w:instrText>
      </w:r>
      <w:bookmarkEnd w:id="1"/>
      <w:r w:rsidRPr="005F3FCA">
        <w:rPr>
          <w:i/>
        </w:rPr>
        <w:instrText xml:space="preserve"> - Poročevalka: Zala Tomašič)"\l3 \n&gt; \* MERGEFORMAT </w:instrText>
      </w:r>
      <w:r w:rsidRPr="005F3FCA">
        <w:rPr>
          <w:i/>
        </w:rPr>
        <w:fldChar w:fldCharType="end"/>
      </w:r>
    </w:p>
    <w:p w14:paraId="5BE56045" w14:textId="77777777" w:rsidR="00695A51" w:rsidRPr="005F3FCA" w:rsidRDefault="00695A51" w:rsidP="00695A51">
      <w:pPr>
        <w:rPr>
          <w:vanish/>
        </w:rPr>
      </w:pPr>
      <w:bookmarkStart w:id="2" w:name="Commission"/>
      <w:r w:rsidRPr="005F3FCA">
        <w:rPr>
          <w:vanish/>
        </w:rPr>
        <w:t>Odbor za notranji trg in varstvo potrošnikov</w:t>
      </w:r>
      <w:bookmarkEnd w:id="2"/>
    </w:p>
    <w:p w14:paraId="09AB0E23" w14:textId="77777777" w:rsidR="00695A51" w:rsidRPr="005F3FCA" w:rsidRDefault="00695A51" w:rsidP="00695A51">
      <w:pPr>
        <w:rPr>
          <w:vanish/>
        </w:rPr>
      </w:pPr>
      <w:bookmarkStart w:id="3" w:name="PE"/>
      <w:r w:rsidRPr="005F3FCA">
        <w:rPr>
          <w:vanish/>
        </w:rPr>
        <w:t>PE773.060</w:t>
      </w:r>
      <w:bookmarkEnd w:id="3"/>
    </w:p>
    <w:p w14:paraId="024A0ABE" w14:textId="6BF1E362" w:rsidR="00695A51" w:rsidRPr="005F3FCA" w:rsidRDefault="00695A51" w:rsidP="00695A51">
      <w:pPr>
        <w:pStyle w:val="ATHeading3"/>
      </w:pPr>
      <w:bookmarkStart w:id="4" w:name="Sujet"/>
      <w:r w:rsidRPr="005F3FCA">
        <w:t xml:space="preserve">Zakonodajna resolucija Evropskega parlamenta z dne </w:t>
      </w:r>
      <w:r w:rsidR="00E06A32" w:rsidRPr="005F3FCA">
        <w:t>10</w:t>
      </w:r>
      <w:r w:rsidRPr="005F3FCA">
        <w:t>. februarja 2026 o predlogu direktive Evropskega parlamenta in Sveta o spremembi Direktive 2014/32/EU glede opreme za polnjenje električnih vozil, naprav za polnjenje s stisnjenim plinom ter števcev električne energije, plinomerov in merilnikov toplotne energije</w:t>
      </w:r>
      <w:bookmarkEnd w:id="4"/>
      <w:r w:rsidRPr="005F3FCA">
        <w:t xml:space="preserve"> </w:t>
      </w:r>
      <w:bookmarkStart w:id="5" w:name="References"/>
      <w:r w:rsidRPr="005F3FCA">
        <w:t>(COM(2024)0561 – C10-0205/2024 – 2024/0311(COD))</w:t>
      </w:r>
      <w:bookmarkEnd w:id="5"/>
    </w:p>
    <w:p w14:paraId="6C35EC6F" w14:textId="77777777" w:rsidR="00166C14" w:rsidRPr="005F3FCA" w:rsidRDefault="00166C14" w:rsidP="00166C14">
      <w:pPr>
        <w:pStyle w:val="NormalBold"/>
      </w:pPr>
      <w:r w:rsidRPr="005F3FCA">
        <w:t>(Redni zakonodajni postopek: prva obravnava)</w:t>
      </w:r>
    </w:p>
    <w:p w14:paraId="6BBC5E86" w14:textId="77777777" w:rsidR="00166C14" w:rsidRPr="005F3FCA" w:rsidRDefault="00166C14" w:rsidP="00166C14">
      <w:pPr>
        <w:pStyle w:val="EPComma"/>
      </w:pPr>
      <w:r w:rsidRPr="005F3FCA">
        <w:rPr>
          <w:i/>
        </w:rPr>
        <w:t>Evropski parlament</w:t>
      </w:r>
      <w:r w:rsidRPr="005F3FCA">
        <w:t>,</w:t>
      </w:r>
    </w:p>
    <w:p w14:paraId="348332CA" w14:textId="77777777" w:rsidR="00166C14" w:rsidRPr="005F3FCA" w:rsidRDefault="00166C14" w:rsidP="00166C14">
      <w:pPr>
        <w:pStyle w:val="NormalHanging12a"/>
      </w:pPr>
      <w:r w:rsidRPr="005F3FCA">
        <w:t>–</w:t>
      </w:r>
      <w:r w:rsidRPr="005F3FCA">
        <w:tab/>
        <w:t>ob upoštevanju predloga Komisije Evropskemu parlamentu in Svetu (COM(2024)0561),</w:t>
      </w:r>
    </w:p>
    <w:p w14:paraId="28404FD1" w14:textId="77777777" w:rsidR="00166C14" w:rsidRPr="005F3FCA" w:rsidRDefault="00166C14" w:rsidP="00166C14">
      <w:pPr>
        <w:pStyle w:val="NormalHanging12a"/>
      </w:pPr>
      <w:r w:rsidRPr="005F3FCA">
        <w:t>–</w:t>
      </w:r>
      <w:r w:rsidRPr="005F3FCA">
        <w:tab/>
        <w:t>ob upoštevanju člena 294(2) in člena 114 Pogodbe o delovanju Evropske unije, na podlagi katerih je Komisija podala predlog Parlamentu (C10</w:t>
      </w:r>
      <w:r w:rsidRPr="005F3FCA">
        <w:noBreakHyphen/>
        <w:t>0205/2024),</w:t>
      </w:r>
    </w:p>
    <w:p w14:paraId="4642D600" w14:textId="77777777" w:rsidR="00166C14" w:rsidRPr="005F3FCA" w:rsidRDefault="00166C14" w:rsidP="00166C14">
      <w:pPr>
        <w:pStyle w:val="NormalHanging12a"/>
      </w:pPr>
      <w:r w:rsidRPr="005F3FCA">
        <w:t>–</w:t>
      </w:r>
      <w:r w:rsidRPr="005F3FCA">
        <w:tab/>
        <w:t>ob upoštevanju člena 294(3) Pogodbe o delovanju Evropske unije,</w:t>
      </w:r>
    </w:p>
    <w:p w14:paraId="00D9C390" w14:textId="77777777" w:rsidR="00166C14" w:rsidRPr="005F3FCA" w:rsidRDefault="00166C14" w:rsidP="00166C14">
      <w:pPr>
        <w:pStyle w:val="NormalHanging12a"/>
      </w:pPr>
      <w:r w:rsidRPr="005F3FCA">
        <w:t>–</w:t>
      </w:r>
      <w:r w:rsidRPr="005F3FCA">
        <w:tab/>
        <w:t>ob upoštevanju mnenja Evropskega ekonomsko-socialnega odbora z dne 22. januarja 2025</w:t>
      </w:r>
      <w:r w:rsidRPr="005F3FCA">
        <w:rPr>
          <w:rStyle w:val="FootnoteReference"/>
        </w:rPr>
        <w:footnoteReference w:id="1"/>
      </w:r>
      <w:r w:rsidRPr="005F3FCA">
        <w:t>,</w:t>
      </w:r>
    </w:p>
    <w:p w14:paraId="64C0E15B" w14:textId="3CDA21F3" w:rsidR="00E06A32" w:rsidRPr="005F3FCA" w:rsidRDefault="00E06A32" w:rsidP="00166C14">
      <w:pPr>
        <w:pStyle w:val="NormalHanging12a"/>
      </w:pPr>
      <w:r w:rsidRPr="005F3FCA">
        <w:t>–</w:t>
      </w:r>
      <w:r w:rsidRPr="005F3FCA">
        <w:tab/>
        <w:t>ob upoštevanju začasnega dogovora, ki ga je odobril pristojni odbor na podlagi člena 75(4) Poslovnika, in zaveze predstavnika Sveta v pismu z dne 26. novembra 2025, da bo odobril stališče Evropskega parlamenta v skladu s členom 294(4) Pogodbe o delovanju Evropske unije,</w:t>
      </w:r>
    </w:p>
    <w:p w14:paraId="3D300DB5" w14:textId="77777777" w:rsidR="00166C14" w:rsidRPr="005F3FCA" w:rsidRDefault="00166C14" w:rsidP="00166C14">
      <w:pPr>
        <w:pStyle w:val="NormalHanging12a"/>
      </w:pPr>
      <w:r w:rsidRPr="005F3FCA">
        <w:t>–</w:t>
      </w:r>
      <w:r w:rsidRPr="005F3FCA">
        <w:tab/>
        <w:t>ob upoštevanju člena 60 Poslovnika,</w:t>
      </w:r>
    </w:p>
    <w:p w14:paraId="778A9A8A" w14:textId="77777777" w:rsidR="00166C14" w:rsidRPr="005F3FCA" w:rsidRDefault="00166C14" w:rsidP="00166C14">
      <w:pPr>
        <w:pStyle w:val="NormalHanging12a"/>
      </w:pPr>
      <w:r w:rsidRPr="005F3FCA">
        <w:t>–</w:t>
      </w:r>
      <w:r w:rsidRPr="005F3FCA">
        <w:tab/>
        <w:t>ob upoštevanju poročila Odbora za notranji trg in varstvo potrošnikov (A10</w:t>
      </w:r>
      <w:r w:rsidRPr="005F3FCA">
        <w:noBreakHyphen/>
        <w:t>0173/2025),</w:t>
      </w:r>
    </w:p>
    <w:p w14:paraId="1B5797DF" w14:textId="77777777" w:rsidR="00166C14" w:rsidRPr="005F3FCA" w:rsidRDefault="00166C14" w:rsidP="00166C14">
      <w:pPr>
        <w:pStyle w:val="NormalHanging12a"/>
      </w:pPr>
      <w:r w:rsidRPr="005F3FCA">
        <w:t>1.</w:t>
      </w:r>
      <w:r w:rsidRPr="005F3FCA">
        <w:tab/>
        <w:t>sprejme stališče v prvi obravnavi, kakor je določeno v nadaljevanju;</w:t>
      </w:r>
    </w:p>
    <w:p w14:paraId="0A6A03AE" w14:textId="77777777" w:rsidR="00166C14" w:rsidRPr="005F3FCA" w:rsidRDefault="00166C14" w:rsidP="00166C14">
      <w:pPr>
        <w:pStyle w:val="NormalHanging12a"/>
      </w:pPr>
      <w:r w:rsidRPr="005F3FCA">
        <w:lastRenderedPageBreak/>
        <w:t>2.</w:t>
      </w:r>
      <w:r w:rsidRPr="005F3FCA">
        <w:tab/>
        <w:t>poziva Komisijo, naj mu zadevo ponovno predloži, če svoj predlog nadomesti, ga bistveno spremeni ali ga namerava bistveno spremeniti;</w:t>
      </w:r>
    </w:p>
    <w:p w14:paraId="201BF07F" w14:textId="4715AAAC" w:rsidR="00166C14" w:rsidRPr="005F3FCA" w:rsidRDefault="00166C14" w:rsidP="00166C14">
      <w:pPr>
        <w:pStyle w:val="NormalHanging12a"/>
      </w:pPr>
      <w:r w:rsidRPr="005F3FCA">
        <w:t>3.</w:t>
      </w:r>
      <w:r w:rsidRPr="005F3FCA">
        <w:tab/>
        <w:t>naroči svoji predsednici, naj stališče Parlamenta posreduje Svetu</w:t>
      </w:r>
      <w:r w:rsidR="00E06A32" w:rsidRPr="005F3FCA">
        <w:t>,</w:t>
      </w:r>
      <w:r w:rsidRPr="005F3FCA">
        <w:t xml:space="preserve"> Komisiji </w:t>
      </w:r>
      <w:r w:rsidR="00E06A32" w:rsidRPr="005F3FCA">
        <w:t>in</w:t>
      </w:r>
      <w:r w:rsidRPr="005F3FCA">
        <w:t xml:space="preserve"> nacionalnim parlamentom.</w:t>
      </w:r>
    </w:p>
    <w:p w14:paraId="5CD75170" w14:textId="77777777" w:rsidR="00E06A32" w:rsidRPr="005F3FCA" w:rsidRDefault="00E06A32" w:rsidP="00166C14">
      <w:pPr>
        <w:widowControl/>
        <w:sectPr w:rsidR="00E06A32" w:rsidRPr="005F3FCA" w:rsidSect="0023200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7565633" w14:textId="270DD0DE" w:rsidR="00E06A32" w:rsidRPr="005F3FCA" w:rsidRDefault="00E06A32" w:rsidP="00E06A32">
      <w:pPr>
        <w:widowControl/>
        <w:spacing w:after="240"/>
        <w:rPr>
          <w:b/>
        </w:rPr>
      </w:pPr>
      <w:r w:rsidRPr="005F3FCA">
        <w:rPr>
          <w:b/>
        </w:rPr>
        <w:lastRenderedPageBreak/>
        <w:t>P10_TC1-COD(2024)0311</w:t>
      </w:r>
    </w:p>
    <w:p w14:paraId="67411355" w14:textId="00D10368" w:rsidR="00686E03" w:rsidRDefault="00E06A32" w:rsidP="00686E03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5F3FCA">
        <w:rPr>
          <w:b/>
        </w:rPr>
        <w:t xml:space="preserve">Stališče Evropskega parlamenta, sprejeto v prvi obravnavi </w:t>
      </w:r>
      <w:r w:rsidR="00686E03" w:rsidRPr="005F3FCA">
        <w:rPr>
          <w:b/>
        </w:rPr>
        <w:t>10</w:t>
      </w:r>
      <w:r w:rsidRPr="005F3FCA">
        <w:rPr>
          <w:b/>
        </w:rPr>
        <w:t xml:space="preserve">. februarja 2026 z namenom sprejetja Direktive (EU) 2026/... Evropskega parlamenta in Sveta </w:t>
      </w:r>
      <w:r w:rsidR="00FD5C43" w:rsidRPr="00FD5C43">
        <w:rPr>
          <w:rFonts w:eastAsia="Calibri"/>
          <w:b/>
          <w:szCs w:val="22"/>
          <w:lang w:eastAsia="en-US"/>
        </w:rPr>
        <w:t>o spremembi Direktive 2014/32/EU glede merilnih sistemov za opremo za polnjenje električnih vozil in naprav za polnjenje s stisnjenim plinom ter števcev električne energije, plinomerov in merilnikov toplotne energije</w:t>
      </w:r>
    </w:p>
    <w:p w14:paraId="265FD682" w14:textId="51BA4E51" w:rsidR="00FD5C43" w:rsidRPr="005F3FCA" w:rsidRDefault="00FD5C43" w:rsidP="00686E03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>
        <w:rPr>
          <w:i/>
        </w:rPr>
        <w:t>Direktivi</w:t>
      </w:r>
      <w:r w:rsidRPr="007C3669">
        <w:rPr>
          <w:i/>
        </w:rPr>
        <w:t xml:space="preserve"> (EU) </w:t>
      </w:r>
      <w:r w:rsidRPr="003E2898">
        <w:rPr>
          <w:i/>
        </w:rPr>
        <w:t>2026/</w:t>
      </w:r>
      <w:r>
        <w:rPr>
          <w:i/>
        </w:rPr>
        <w:t>706</w:t>
      </w:r>
      <w:r>
        <w:rPr>
          <w:i/>
        </w:rPr>
        <w:t>.</w:t>
      </w:r>
      <w:r w:rsidRPr="00B07478">
        <w:rPr>
          <w:i/>
        </w:rPr>
        <w:t>)</w:t>
      </w:r>
    </w:p>
    <w:sectPr w:rsidR="00FD5C43" w:rsidRPr="005F3FCA" w:rsidSect="00FD5C43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EDB59" w14:textId="77777777" w:rsidR="00695A51" w:rsidRPr="0023200C" w:rsidRDefault="00695A51">
      <w:r w:rsidRPr="0023200C">
        <w:separator/>
      </w:r>
    </w:p>
  </w:endnote>
  <w:endnote w:type="continuationSeparator" w:id="0">
    <w:p w14:paraId="1713D0CC" w14:textId="77777777" w:rsidR="00695A51" w:rsidRPr="0023200C" w:rsidRDefault="00695A51">
      <w:r w:rsidRPr="002320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DD27A" w14:textId="77777777" w:rsidR="00064002" w:rsidRPr="0023200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53DF3" w14:textId="77777777" w:rsidR="00064002" w:rsidRPr="0023200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DD39B" w14:textId="77777777" w:rsidR="00064002" w:rsidRPr="0023200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4EF89" w14:textId="77777777" w:rsidR="00695A51" w:rsidRPr="0023200C" w:rsidRDefault="00695A51">
      <w:r w:rsidRPr="0023200C">
        <w:separator/>
      </w:r>
    </w:p>
  </w:footnote>
  <w:footnote w:type="continuationSeparator" w:id="0">
    <w:p w14:paraId="3F659B00" w14:textId="77777777" w:rsidR="00695A51" w:rsidRPr="0023200C" w:rsidRDefault="00695A51">
      <w:r w:rsidRPr="0023200C">
        <w:continuationSeparator/>
      </w:r>
    </w:p>
  </w:footnote>
  <w:footnote w:id="1">
    <w:p w14:paraId="3B7E517C" w14:textId="386E393A" w:rsidR="00166C14" w:rsidRPr="005F3FCA" w:rsidRDefault="00166C14" w:rsidP="0023200C">
      <w:pPr>
        <w:pStyle w:val="FootnoteText"/>
        <w:ind w:left="567" w:hanging="567"/>
        <w:rPr>
          <w:sz w:val="24"/>
          <w:szCs w:val="24"/>
          <w:lang w:val="sl-SI"/>
        </w:rPr>
      </w:pPr>
      <w:r w:rsidRPr="005F3FCA">
        <w:rPr>
          <w:rStyle w:val="FootnoteReference"/>
          <w:sz w:val="24"/>
          <w:szCs w:val="24"/>
          <w:lang w:val="sl-SI"/>
        </w:rPr>
        <w:footnoteRef/>
      </w:r>
      <w:r w:rsidR="0023200C" w:rsidRPr="005F3FCA">
        <w:rPr>
          <w:sz w:val="24"/>
          <w:szCs w:val="24"/>
          <w:lang w:val="sl-SI"/>
        </w:rPr>
        <w:t xml:space="preserve"> </w:t>
      </w:r>
      <w:r w:rsidR="0023200C" w:rsidRPr="005F3FCA">
        <w:rPr>
          <w:sz w:val="24"/>
          <w:szCs w:val="24"/>
          <w:lang w:val="sl-SI"/>
        </w:rPr>
        <w:tab/>
      </w:r>
      <w:r w:rsidRPr="005F3FCA">
        <w:rPr>
          <w:sz w:val="24"/>
          <w:szCs w:val="24"/>
          <w:lang w:val="sl-SI"/>
        </w:rPr>
        <w:t xml:space="preserve">UL C, C/2025/1192, 21.3.2025, ELI: </w:t>
      </w:r>
      <w:hyperlink r:id="rId1" w:history="1">
        <w:r w:rsidRPr="005F3FCA">
          <w:rPr>
            <w:rStyle w:val="Hyperlink"/>
            <w:sz w:val="24"/>
            <w:szCs w:val="24"/>
            <w:lang w:val="sl-SI"/>
          </w:rPr>
          <w:t>https://eur-lex.europa.eu/eli/C/2025/1192/oj</w:t>
        </w:r>
      </w:hyperlink>
      <w:r w:rsidRPr="005F3FCA">
        <w:rPr>
          <w:sz w:val="24"/>
          <w:szCs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A50F8" w14:textId="77777777" w:rsidR="00064002" w:rsidRPr="0023200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DE3BC" w14:textId="77777777" w:rsidR="00064002" w:rsidRPr="0023200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48E4D" w14:textId="77777777" w:rsidR="00064002" w:rsidRPr="0023200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990131700">
    <w:abstractNumId w:val="0"/>
  </w:num>
  <w:num w:numId="2" w16cid:durableId="1469014396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4"/>
  </w:num>
  <w:num w:numId="6" w16cid:durableId="307787253">
    <w:abstractNumId w:val="13"/>
  </w:num>
  <w:num w:numId="7" w16cid:durableId="703754214">
    <w:abstractNumId w:val="21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3/2025"/>
    <w:docVar w:name="dvlangue" w:val="SL"/>
    <w:docVar w:name="dvnumam" w:val="23"/>
    <w:docVar w:name="dvpe" w:val="773.060"/>
    <w:docVar w:name="dvrapporteur" w:val="Poročevalka: "/>
    <w:docVar w:name="dvstar" w:val="***I"/>
    <w:docVar w:name="dvtitre" w:val="Zakonodajna resolucija Evropskega parlamenta z dne xx. februarja 2026 o predlogu direktive Evropskega parlamenta in Sveta o spremembi Direktive 2014/32/EU glede opreme za polnjenje električnih vozil, naprav za polnjenje s stisnjenim plinom ter števcev električne energije, plinomerov in merilnikov toplotne energije(COM(2024)0561 – C10-0205/2024 – 2024/0311(COD))"/>
  </w:docVars>
  <w:rsids>
    <w:rsidRoot w:val="00695A51"/>
    <w:rsid w:val="00002272"/>
    <w:rsid w:val="0006245B"/>
    <w:rsid w:val="00064002"/>
    <w:rsid w:val="000677B9"/>
    <w:rsid w:val="000831BA"/>
    <w:rsid w:val="000A42CC"/>
    <w:rsid w:val="000E7DD9"/>
    <w:rsid w:val="0010095E"/>
    <w:rsid w:val="00125B37"/>
    <w:rsid w:val="00166C14"/>
    <w:rsid w:val="00187494"/>
    <w:rsid w:val="001F32AE"/>
    <w:rsid w:val="00225F09"/>
    <w:rsid w:val="002318D0"/>
    <w:rsid w:val="0023200C"/>
    <w:rsid w:val="002767FF"/>
    <w:rsid w:val="002B18FE"/>
    <w:rsid w:val="002B5493"/>
    <w:rsid w:val="00343214"/>
    <w:rsid w:val="00361C00"/>
    <w:rsid w:val="00395FA1"/>
    <w:rsid w:val="003B502D"/>
    <w:rsid w:val="003E15D4"/>
    <w:rsid w:val="00411CCE"/>
    <w:rsid w:val="0041666E"/>
    <w:rsid w:val="00421060"/>
    <w:rsid w:val="00471C19"/>
    <w:rsid w:val="00483C5F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1451"/>
    <w:rsid w:val="005C2568"/>
    <w:rsid w:val="005F1B17"/>
    <w:rsid w:val="005F3FCA"/>
    <w:rsid w:val="006037C0"/>
    <w:rsid w:val="006631B6"/>
    <w:rsid w:val="00680577"/>
    <w:rsid w:val="0068220E"/>
    <w:rsid w:val="00686E03"/>
    <w:rsid w:val="00695A5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27D7"/>
    <w:rsid w:val="008C2AC6"/>
    <w:rsid w:val="00930C23"/>
    <w:rsid w:val="0093193B"/>
    <w:rsid w:val="009509D8"/>
    <w:rsid w:val="00950B64"/>
    <w:rsid w:val="009718E5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134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2080"/>
    <w:rsid w:val="00D834A0"/>
    <w:rsid w:val="00D872DF"/>
    <w:rsid w:val="00D91E21"/>
    <w:rsid w:val="00DA7FCD"/>
    <w:rsid w:val="00DF4A04"/>
    <w:rsid w:val="00E06A32"/>
    <w:rsid w:val="00E3134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E5C5B5"/>
  <w15:chartTrackingRefBased/>
  <w15:docId w15:val="{67F3094C-209E-4ABD-B653-CE6013CCC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166C14"/>
    <w:rPr>
      <w:b/>
    </w:rPr>
  </w:style>
  <w:style w:type="paragraph" w:customStyle="1" w:styleId="NormalHanging12a">
    <w:name w:val="NormalHanging12a"/>
    <w:basedOn w:val="Normal"/>
    <w:rsid w:val="00166C14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166C14"/>
    <w:pPr>
      <w:spacing w:before="240"/>
    </w:pPr>
    <w:rPr>
      <w:b/>
    </w:rPr>
  </w:style>
  <w:style w:type="paragraph" w:customStyle="1" w:styleId="EPComma">
    <w:name w:val="EPComma"/>
    <w:basedOn w:val="Normal"/>
    <w:rsid w:val="00166C14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166C14"/>
    <w:rPr>
      <w:color w:val="0563C1" w:themeColor="hyperlink"/>
      <w:u w:val="single"/>
    </w:rPr>
  </w:style>
  <w:style w:type="character" w:customStyle="1" w:styleId="Normal6Char">
    <w:name w:val="Normal6 Char"/>
    <w:basedOn w:val="DefaultParagraphFont"/>
    <w:link w:val="Normal6"/>
    <w:locked/>
    <w:rsid w:val="00166C14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166C1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66C14"/>
    <w:rPr>
      <w:b/>
      <w:sz w:val="24"/>
      <w:lang w:val="sl-SI"/>
    </w:rPr>
  </w:style>
  <w:style w:type="paragraph" w:customStyle="1" w:styleId="ColumnHeading">
    <w:name w:val="ColumnHeading"/>
    <w:basedOn w:val="Normal"/>
    <w:rsid w:val="00166C1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66C1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E06A32"/>
    <w:rPr>
      <w:sz w:val="24"/>
      <w:lang w:val="sl-SI"/>
    </w:rPr>
  </w:style>
  <w:style w:type="numbering" w:customStyle="1" w:styleId="NoList1">
    <w:name w:val="No List1"/>
    <w:next w:val="NoList"/>
    <w:uiPriority w:val="99"/>
    <w:semiHidden/>
    <w:unhideWhenUsed/>
    <w:rsid w:val="00686E03"/>
  </w:style>
  <w:style w:type="character" w:customStyle="1" w:styleId="Heading1Char">
    <w:name w:val="Heading 1 Char"/>
    <w:basedOn w:val="DefaultParagraphFont"/>
    <w:link w:val="Heading1"/>
    <w:uiPriority w:val="9"/>
    <w:rsid w:val="00686E0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86E0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6E0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6E0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6E0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6E03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6E03"/>
    <w:rPr>
      <w:rFonts w:ascii="Arial" w:hAnsi="Arial"/>
      <w:sz w:val="24"/>
      <w:lang w:val="sl-SI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686E03"/>
    <w:pPr>
      <w:widowControl/>
      <w:tabs>
        <w:tab w:val="right" w:pos="9638"/>
      </w:tabs>
      <w:spacing w:before="120" w:after="120" w:line="36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1"/>
    <w:uiPriority w:val="99"/>
    <w:rsid w:val="00686E03"/>
    <w:rPr>
      <w:rFonts w:ascii="Times New Roman" w:hAnsi="Times New Roman" w:cs="Times New Roman"/>
      <w:sz w:val="24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686E03"/>
    <w:pPr>
      <w:widowControl/>
      <w:tabs>
        <w:tab w:val="center" w:pos="4819"/>
        <w:tab w:val="center" w:pos="7370"/>
        <w:tab w:val="right" w:pos="9638"/>
      </w:tabs>
    </w:pPr>
    <w:rPr>
      <w:lang w:val="en-GB"/>
    </w:rPr>
  </w:style>
  <w:style w:type="character" w:customStyle="1" w:styleId="FooterChar">
    <w:name w:val="Footer Char"/>
    <w:basedOn w:val="DefaultParagraphFont"/>
    <w:link w:val="Footer1"/>
    <w:uiPriority w:val="99"/>
    <w:rsid w:val="00686E03"/>
    <w:rPr>
      <w:rFonts w:ascii="Times New Roman" w:hAnsi="Times New Roman" w:cs="Times New Roman"/>
      <w:sz w:val="24"/>
    </w:rPr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686E03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686E0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686E0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686E0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686E0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686E0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686E0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686E0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686E0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86E0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86E0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686E03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686E03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86E03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686E0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686E0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686E0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686E0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686E0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686E0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686E0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86E0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86E0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86E0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686E03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686E0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686E03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686E0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686E0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686E0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686E0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686E0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686E0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686E0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686E0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86E0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86E0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86E0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686E0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686E0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686E0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686E0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686E0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86E0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686E0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686E0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686E0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686E0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686E0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86E0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686E03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686E03"/>
    <w:pPr>
      <w:widowControl/>
      <w:numPr>
        <w:numId w:val="4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686E03"/>
    <w:pPr>
      <w:widowControl/>
      <w:numPr>
        <w:numId w:val="5"/>
      </w:numPr>
      <w:tabs>
        <w:tab w:val="clear" w:pos="198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686E03"/>
    <w:pPr>
      <w:widowControl/>
      <w:numPr>
        <w:numId w:val="6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686E03"/>
    <w:pPr>
      <w:widowControl/>
      <w:numPr>
        <w:numId w:val="7"/>
      </w:numPr>
      <w:tabs>
        <w:tab w:val="clear" w:pos="311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686E03"/>
    <w:pPr>
      <w:widowControl/>
      <w:numPr>
        <w:numId w:val="8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86E03"/>
    <w:pPr>
      <w:widowControl/>
      <w:numPr>
        <w:numId w:val="9"/>
      </w:numPr>
      <w:tabs>
        <w:tab w:val="clear" w:pos="4252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86E03"/>
    <w:pPr>
      <w:widowControl/>
      <w:numPr>
        <w:numId w:val="10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86E03"/>
    <w:pPr>
      <w:widowControl/>
      <w:numPr>
        <w:numId w:val="11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686E03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686E03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686E03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686E03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686E03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686E03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686E03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86E0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86E0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86E0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86E0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86E0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86E0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86E0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686E0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86E0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86E0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86E0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86E0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686E0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686E0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686E0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86E03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86E03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86E03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86E03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686E03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686E03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686E03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686E03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686E03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686E03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686E03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686E03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686E03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686E03"/>
    <w:pPr>
      <w:widowControl/>
      <w:numPr>
        <w:numId w:val="14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686E03"/>
    <w:pPr>
      <w:widowControl/>
      <w:numPr>
        <w:numId w:val="15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686E03"/>
    <w:pPr>
      <w:widowControl/>
      <w:numPr>
        <w:numId w:val="16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686E03"/>
    <w:pPr>
      <w:widowControl/>
      <w:numPr>
        <w:numId w:val="17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686E03"/>
    <w:pPr>
      <w:widowControl/>
      <w:numPr>
        <w:numId w:val="18"/>
      </w:numPr>
      <w:tabs>
        <w:tab w:val="clear" w:pos="311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86E03"/>
    <w:pPr>
      <w:widowControl/>
      <w:numPr>
        <w:numId w:val="19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86E03"/>
    <w:pPr>
      <w:widowControl/>
      <w:numPr>
        <w:numId w:val="20"/>
      </w:numPr>
      <w:tabs>
        <w:tab w:val="clear" w:pos="4252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86E03"/>
    <w:pPr>
      <w:widowControl/>
      <w:numPr>
        <w:numId w:val="21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86E03"/>
    <w:pPr>
      <w:widowControl/>
      <w:numPr>
        <w:numId w:val="22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686E0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686E0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86E03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686E03"/>
    <w:pPr>
      <w:widowControl/>
      <w:numPr>
        <w:numId w:val="23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86E0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86E03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86E03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86E03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86E03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86E0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86E03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686E0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686E0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86E03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686E03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686E0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86E0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86E0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86E0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686E0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86E0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86E0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86E0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686E0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86E0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86E0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86E0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86E0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86E03"/>
    <w:pPr>
      <w:spacing w:before="240"/>
    </w:pPr>
  </w:style>
  <w:style w:type="paragraph" w:customStyle="1" w:styleId="Accordtitre">
    <w:name w:val="Accord titre"/>
    <w:basedOn w:val="Normal"/>
    <w:rsid w:val="00686E0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86E0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86E0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86E0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86E0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86E03"/>
    <w:pPr>
      <w:spacing w:after="240"/>
    </w:pPr>
  </w:style>
  <w:style w:type="paragraph" w:customStyle="1" w:styleId="Annexetitre">
    <w:name w:val="Annexe titre"/>
    <w:basedOn w:val="Normal"/>
    <w:next w:val="Normal"/>
    <w:rsid w:val="00686E0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686E0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686E03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686E03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686E03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686E0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86E0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86E0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86E0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86E0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86E0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86E0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86E0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86E0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86E0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86E0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86E0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86E0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86E0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86E0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86E0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86E0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86E0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86E0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86E0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86E0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86E0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86E0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86E0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86E0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86E0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686E0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l-SI" w:eastAsia="en-US"/>
    </w:rPr>
  </w:style>
  <w:style w:type="paragraph" w:customStyle="1" w:styleId="CommentFwdQuotedText">
    <w:name w:val="CommentFwdQuotedText"/>
    <w:basedOn w:val="Normal"/>
    <w:rsid w:val="00686E0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86E03"/>
    <w:pPr>
      <w:pBdr>
        <w:top w:val="none" w:sz="0" w:space="0" w:color="auto"/>
        <w:left w:val="single" w:sz="4" w:space="20" w:color="auto"/>
      </w:pBdr>
    </w:p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686E03"/>
    <w:pPr>
      <w:widowControl/>
      <w:spacing w:before="120" w:after="120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686E03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686E03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86E03"/>
    <w:rPr>
      <w:color w:val="605E5C"/>
      <w:shd w:val="clear" w:color="auto" w:fill="E1DFDD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686E03"/>
    <w:pPr>
      <w:widowControl/>
      <w:spacing w:before="120" w:after="120"/>
    </w:pPr>
    <w:rPr>
      <w:rFonts w:eastAsia="Calibr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E03"/>
    <w:rPr>
      <w:rFonts w:ascii="Times New Roman" w:hAnsi="Times New Roman" w:cs="Times New Roman"/>
      <w:b/>
      <w:bCs/>
      <w:sz w:val="20"/>
      <w:szCs w:val="20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86E03"/>
    <w:rPr>
      <w:color w:val="954F72"/>
      <w:u w:val="single"/>
    </w:rPr>
  </w:style>
  <w:style w:type="paragraph" w:styleId="Header">
    <w:name w:val="header"/>
    <w:basedOn w:val="Normal"/>
    <w:link w:val="HeaderChar1"/>
    <w:rsid w:val="00686E03"/>
    <w:pPr>
      <w:tabs>
        <w:tab w:val="center" w:pos="4513"/>
        <w:tab w:val="right" w:pos="9026"/>
      </w:tabs>
    </w:pPr>
  </w:style>
  <w:style w:type="character" w:customStyle="1" w:styleId="HeaderChar1">
    <w:name w:val="Header Char1"/>
    <w:basedOn w:val="DefaultParagraphFont"/>
    <w:link w:val="Header"/>
    <w:rsid w:val="00686E03"/>
    <w:rPr>
      <w:sz w:val="24"/>
      <w:lang w:val="sl-SI"/>
    </w:rPr>
  </w:style>
  <w:style w:type="paragraph" w:styleId="Footer">
    <w:name w:val="footer"/>
    <w:basedOn w:val="Normal"/>
    <w:link w:val="FooterChar1"/>
    <w:rsid w:val="00686E03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686E03"/>
    <w:rPr>
      <w:sz w:val="24"/>
      <w:lang w:val="sl-SI"/>
    </w:rPr>
  </w:style>
  <w:style w:type="paragraph" w:styleId="EndnoteText">
    <w:name w:val="endnote text"/>
    <w:basedOn w:val="Normal"/>
    <w:link w:val="EndnoteTextChar1"/>
    <w:rsid w:val="00686E03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686E03"/>
    <w:rPr>
      <w:lang w:val="sl-SI"/>
    </w:rPr>
  </w:style>
  <w:style w:type="paragraph" w:styleId="CommentText">
    <w:name w:val="annotation text"/>
    <w:basedOn w:val="Normal"/>
    <w:link w:val="CommentTextChar1"/>
    <w:rsid w:val="00686E03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686E03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86E03"/>
    <w:rPr>
      <w:b/>
      <w:bCs/>
      <w:lang w:val="en-GB"/>
    </w:rPr>
  </w:style>
  <w:style w:type="character" w:customStyle="1" w:styleId="CommentSubjectChar1">
    <w:name w:val="Comment Subject Char1"/>
    <w:basedOn w:val="CommentTextChar1"/>
    <w:rsid w:val="00686E03"/>
    <w:rPr>
      <w:b/>
      <w:bCs/>
      <w:lang w:val="sl-SI"/>
    </w:rPr>
  </w:style>
  <w:style w:type="character" w:styleId="FollowedHyperlink">
    <w:name w:val="FollowedHyperlink"/>
    <w:basedOn w:val="DefaultParagraphFont"/>
    <w:rsid w:val="00686E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5/11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284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2026-04-17T07:26:00Z</dcterms:created>
  <dcterms:modified xsi:type="dcterms:W3CDTF">2026-04-17T07:26:00Z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P10_TA(2026)0029_</vt:lpwstr>
  </property>
  <property fmtid="{D5CDD505-2E9C-101B-9397-08002B2CF9AE}" pid="4" name="&lt;Type&gt;">
    <vt:lpwstr>RR</vt:lpwstr>
  </property>
</Properties>
</file>