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7C6E" w14:paraId="133639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01F4B4" w14:textId="77777777" w:rsidR="00751A4A" w:rsidRPr="00557C6E" w:rsidRDefault="00DE4920" w:rsidP="0010095E">
            <w:pPr>
              <w:pStyle w:val="EPName"/>
            </w:pPr>
            <w:r w:rsidRPr="00557C6E">
              <w:t>Europaparlamentet</w:t>
            </w:r>
          </w:p>
          <w:p w14:paraId="1615950E" w14:textId="77777777" w:rsidR="00751A4A" w:rsidRPr="00557C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7C6E">
              <w:t>2024</w:t>
            </w:r>
            <w:r w:rsidR="00817416" w:rsidRPr="00557C6E">
              <w:t>-202</w:t>
            </w:r>
            <w:r w:rsidRPr="00557C6E">
              <w:t>9</w:t>
            </w:r>
          </w:p>
        </w:tc>
        <w:tc>
          <w:tcPr>
            <w:tcW w:w="2268" w:type="dxa"/>
            <w:shd w:val="clear" w:color="auto" w:fill="auto"/>
          </w:tcPr>
          <w:p w14:paraId="5503F0B5" w14:textId="77777777" w:rsidR="00751A4A" w:rsidRPr="00557C6E" w:rsidRDefault="00187494" w:rsidP="0010095E">
            <w:pPr>
              <w:pStyle w:val="EPLogo"/>
            </w:pPr>
            <w:r w:rsidRPr="00557C6E">
              <w:rPr>
                <w:noProof/>
                <w:lang w:eastAsia="ja-JP"/>
              </w:rPr>
              <w:drawing>
                <wp:inline distT="0" distB="0" distL="0" distR="0" wp14:anchorId="6FE5C129" wp14:editId="5C3023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4AC259" w14:textId="77777777" w:rsidR="00D058B8" w:rsidRPr="00557C6E" w:rsidRDefault="00D058B8" w:rsidP="004C5D52">
      <w:pPr>
        <w:pStyle w:val="LineTop"/>
      </w:pPr>
    </w:p>
    <w:p w14:paraId="290E87EE" w14:textId="77777777" w:rsidR="00680577" w:rsidRPr="00557C6E" w:rsidRDefault="00DE4920" w:rsidP="00680577">
      <w:pPr>
        <w:pStyle w:val="EPBodyTA1"/>
      </w:pPr>
      <w:r w:rsidRPr="00557C6E">
        <w:t>ANTAGNA TEXTER</w:t>
      </w:r>
    </w:p>
    <w:p w14:paraId="2D8186C2" w14:textId="77777777" w:rsidR="00D058B8" w:rsidRPr="00557C6E" w:rsidRDefault="00D058B8" w:rsidP="00D058B8">
      <w:pPr>
        <w:pStyle w:val="LineBottom"/>
      </w:pPr>
    </w:p>
    <w:p w14:paraId="5D1B9D63" w14:textId="2838ABFD" w:rsidR="00DE4920" w:rsidRPr="00557C6E" w:rsidRDefault="00DE4920" w:rsidP="00DE4920">
      <w:pPr>
        <w:pStyle w:val="ATHeading1"/>
      </w:pPr>
      <w:bookmarkStart w:id="0" w:name="TANumber"/>
      <w:r w:rsidRPr="00557C6E">
        <w:t>P10_TA(2026)00</w:t>
      </w:r>
      <w:bookmarkEnd w:id="0"/>
      <w:r w:rsidR="00557C6E" w:rsidRPr="00557C6E">
        <w:t>29</w:t>
      </w:r>
    </w:p>
    <w:p w14:paraId="0771C1CD" w14:textId="77777777" w:rsidR="00DE4920" w:rsidRPr="00557C6E" w:rsidRDefault="00DE4920" w:rsidP="00DE4920">
      <w:pPr>
        <w:pStyle w:val="ATHeading2"/>
      </w:pPr>
      <w:bookmarkStart w:id="1" w:name="title"/>
      <w:r w:rsidRPr="00557C6E">
        <w:t>Ändring av direktivet om mätinstrument</w:t>
      </w:r>
      <w:bookmarkEnd w:id="1"/>
    </w:p>
    <w:p w14:paraId="322478FD" w14:textId="77777777" w:rsidR="00DE4920" w:rsidRPr="00557C6E" w:rsidRDefault="00DE4920" w:rsidP="00DE4920">
      <w:pPr>
        <w:rPr>
          <w:i/>
          <w:vanish/>
        </w:rPr>
      </w:pPr>
      <w:r w:rsidRPr="00557C6E">
        <w:rPr>
          <w:i/>
        </w:rPr>
        <w:fldChar w:fldCharType="begin"/>
      </w:r>
      <w:r w:rsidRPr="00557C6E">
        <w:rPr>
          <w:i/>
        </w:rPr>
        <w:instrText xml:space="preserve"> TC"(</w:instrText>
      </w:r>
      <w:bookmarkStart w:id="2" w:name="DocNumber"/>
      <w:r w:rsidRPr="00557C6E">
        <w:rPr>
          <w:i/>
        </w:rPr>
        <w:instrText>A10-0173/2025</w:instrText>
      </w:r>
      <w:bookmarkEnd w:id="2"/>
      <w:r w:rsidRPr="00557C6E">
        <w:rPr>
          <w:i/>
        </w:rPr>
        <w:instrText xml:space="preserve"> - Föredragande: Zala Tomašič)"\l3 \n&gt; \* MERGEFORMAT </w:instrText>
      </w:r>
      <w:r w:rsidRPr="00557C6E">
        <w:rPr>
          <w:i/>
        </w:rPr>
        <w:fldChar w:fldCharType="end"/>
      </w:r>
    </w:p>
    <w:p w14:paraId="3C425F7F" w14:textId="77777777" w:rsidR="00DE4920" w:rsidRPr="00557C6E" w:rsidRDefault="00DE4920" w:rsidP="00DE4920">
      <w:pPr>
        <w:rPr>
          <w:vanish/>
        </w:rPr>
      </w:pPr>
      <w:bookmarkStart w:id="3" w:name="Commission"/>
      <w:r w:rsidRPr="00557C6E">
        <w:rPr>
          <w:vanish/>
        </w:rPr>
        <w:t>Utskottet för den inre marknaden och konsumentskydd</w:t>
      </w:r>
      <w:bookmarkEnd w:id="3"/>
    </w:p>
    <w:p w14:paraId="59565FF4" w14:textId="77777777" w:rsidR="00DE4920" w:rsidRPr="00557C6E" w:rsidRDefault="00DE4920" w:rsidP="00DE4920">
      <w:pPr>
        <w:rPr>
          <w:vanish/>
        </w:rPr>
      </w:pPr>
      <w:bookmarkStart w:id="4" w:name="PE"/>
      <w:r w:rsidRPr="00557C6E">
        <w:rPr>
          <w:vanish/>
        </w:rPr>
        <w:t>PE773.060</w:t>
      </w:r>
      <w:bookmarkEnd w:id="4"/>
    </w:p>
    <w:p w14:paraId="61AC0528" w14:textId="4C05325F" w:rsidR="00DE4920" w:rsidRPr="00557C6E" w:rsidRDefault="00DE4920" w:rsidP="00DE4920">
      <w:pPr>
        <w:pStyle w:val="ATHeading3"/>
      </w:pPr>
      <w:bookmarkStart w:id="5" w:name="Sujet"/>
      <w:r w:rsidRPr="00557C6E">
        <w:t xml:space="preserve">Europaparlamentets lagstiftningsresolution av den </w:t>
      </w:r>
      <w:r w:rsidR="00F041A6" w:rsidRPr="00557C6E">
        <w:t>10</w:t>
      </w:r>
      <w:r w:rsidRPr="00557C6E">
        <w:t xml:space="preserve"> </w:t>
      </w:r>
      <w:r w:rsidR="007E6FB5" w:rsidRPr="00557C6E">
        <w:t>februari</w:t>
      </w:r>
      <w:r w:rsidRPr="00557C6E">
        <w:t xml:space="preserve"> 2026 om förslaget till Europaparlamentets och rådets direktiv om ändring av direktiv 2014/32/EU vad gäller försörjningsutrustning för elfordon, tankningsutrustning för komprimerad gas samt el-, gas- och värmeenergimätare</w:t>
      </w:r>
      <w:bookmarkEnd w:id="5"/>
      <w:r w:rsidRPr="00557C6E">
        <w:t xml:space="preserve"> </w:t>
      </w:r>
      <w:bookmarkStart w:id="6" w:name="References"/>
      <w:r w:rsidRPr="00557C6E">
        <w:t>(COM(2024)0561 – C10-0205/2024 – 2024/0311(COD))</w:t>
      </w:r>
      <w:bookmarkEnd w:id="6"/>
    </w:p>
    <w:p w14:paraId="5610EA03" w14:textId="77777777" w:rsidR="000451CD" w:rsidRPr="00557C6E" w:rsidRDefault="000451CD" w:rsidP="000451CD">
      <w:pPr>
        <w:pStyle w:val="NormalBold"/>
      </w:pPr>
      <w:r w:rsidRPr="00557C6E">
        <w:t>(Ordinarie lagstiftningsförfarande: första behandlingen)</w:t>
      </w:r>
    </w:p>
    <w:p w14:paraId="61EE4E7A" w14:textId="77777777" w:rsidR="000451CD" w:rsidRPr="00557C6E" w:rsidRDefault="000451CD" w:rsidP="000451CD">
      <w:pPr>
        <w:pStyle w:val="EPComma"/>
      </w:pPr>
      <w:r w:rsidRPr="00557C6E">
        <w:rPr>
          <w:i/>
        </w:rPr>
        <w:t>Europaparlamentet utfärdar denna resolution</w:t>
      </w:r>
    </w:p>
    <w:p w14:paraId="0E4592E9" w14:textId="77777777" w:rsidR="000451CD" w:rsidRPr="00557C6E" w:rsidRDefault="000451CD" w:rsidP="000451CD">
      <w:pPr>
        <w:pStyle w:val="NormalHanging12a"/>
      </w:pPr>
      <w:r w:rsidRPr="00557C6E">
        <w:t>–</w:t>
      </w:r>
      <w:r w:rsidRPr="00557C6E">
        <w:tab/>
        <w:t>med beaktande av kommissionens förslag till Europaparlamentet och rådet (COM(2024)0561),</w:t>
      </w:r>
    </w:p>
    <w:p w14:paraId="1E21C066" w14:textId="77777777" w:rsidR="000451CD" w:rsidRPr="00557C6E" w:rsidRDefault="000451CD" w:rsidP="000451CD">
      <w:pPr>
        <w:pStyle w:val="NormalHanging12a"/>
      </w:pPr>
      <w:r w:rsidRPr="00557C6E">
        <w:t>–</w:t>
      </w:r>
      <w:r w:rsidRPr="00557C6E">
        <w:tab/>
        <w:t>med beaktande av artiklarna 294.2 och 114 i fördraget om Europeiska unionens funktionssätt, i enlighet med vilka kommissionen har lagt fram sitt förslag för parlamentet (C10</w:t>
      </w:r>
      <w:r w:rsidRPr="00557C6E">
        <w:noBreakHyphen/>
        <w:t>0205/2024),</w:t>
      </w:r>
    </w:p>
    <w:p w14:paraId="0FDED509" w14:textId="77777777" w:rsidR="000451CD" w:rsidRPr="00557C6E" w:rsidRDefault="000451CD" w:rsidP="000451CD">
      <w:pPr>
        <w:pStyle w:val="NormalHanging12a"/>
      </w:pPr>
      <w:r w:rsidRPr="00557C6E">
        <w:t>–</w:t>
      </w:r>
      <w:r w:rsidRPr="00557C6E">
        <w:tab/>
        <w:t>med beaktande av artikel 294.3 i fördraget om Europeiska unionens funktionssätt,</w:t>
      </w:r>
    </w:p>
    <w:p w14:paraId="6A503DE6" w14:textId="77777777" w:rsidR="000451CD" w:rsidRPr="00557C6E" w:rsidRDefault="000451CD" w:rsidP="000451CD">
      <w:pPr>
        <w:pStyle w:val="NormalHanging12a"/>
      </w:pPr>
      <w:r w:rsidRPr="00557C6E">
        <w:t>–</w:t>
      </w:r>
      <w:r w:rsidRPr="00557C6E">
        <w:tab/>
        <w:t>med beaktande av Europeiska ekonomiska och sociala kommitténs yttrande av den 22 januari 2025</w:t>
      </w:r>
      <w:r w:rsidRPr="00557C6E">
        <w:rPr>
          <w:rStyle w:val="FootnoteReference"/>
        </w:rPr>
        <w:footnoteReference w:id="1"/>
      </w:r>
      <w:r w:rsidRPr="00557C6E">
        <w:t>,</w:t>
      </w:r>
    </w:p>
    <w:p w14:paraId="2BF6A884" w14:textId="77777777" w:rsidR="00557C6E" w:rsidRDefault="00AD62E1" w:rsidP="000451CD">
      <w:pPr>
        <w:pStyle w:val="NormalHanging12a"/>
        <w:rPr>
          <w:rFonts w:eastAsia="Calibri"/>
          <w:szCs w:val="24"/>
          <w:lang w:eastAsia="en-US"/>
        </w:rPr>
      </w:pPr>
      <w:r w:rsidRPr="00557C6E">
        <w:rPr>
          <w:rFonts w:eastAsia="Calibri"/>
          <w:szCs w:val="24"/>
          <w:lang w:eastAsia="en-US"/>
        </w:rPr>
        <w:t>–</w:t>
      </w:r>
      <w:r w:rsidRPr="00557C6E">
        <w:rPr>
          <w:rFonts w:eastAsia="Calibri"/>
          <w:szCs w:val="24"/>
          <w:lang w:eastAsia="en-US"/>
        </w:rPr>
        <w:tab/>
        <w:t>med beaktande av den preliminära överenskommelse som godkänts av det ansvariga utskottet enligt artikel 7</w:t>
      </w:r>
      <w:r w:rsidR="004B5232" w:rsidRPr="00557C6E">
        <w:rPr>
          <w:rFonts w:eastAsia="Calibri"/>
          <w:szCs w:val="24"/>
          <w:lang w:eastAsia="en-US"/>
        </w:rPr>
        <w:t>5</w:t>
      </w:r>
      <w:r w:rsidRPr="00557C6E">
        <w:rPr>
          <w:rFonts w:eastAsia="Calibri"/>
          <w:szCs w:val="24"/>
          <w:lang w:eastAsia="en-US"/>
        </w:rPr>
        <w:t xml:space="preserve">.4 i arbetsordningen och av det skriftliga åtagandet från rådets företrädare av den </w:t>
      </w:r>
      <w:r w:rsidR="00F041A6" w:rsidRPr="00557C6E">
        <w:rPr>
          <w:rFonts w:eastAsia="Calibri"/>
          <w:szCs w:val="24"/>
          <w:lang w:eastAsia="en-US"/>
        </w:rPr>
        <w:t>26 november 2025</w:t>
      </w:r>
      <w:r w:rsidRPr="00557C6E">
        <w:rPr>
          <w:rFonts w:eastAsia="Calibri"/>
          <w:szCs w:val="24"/>
          <w:lang w:eastAsia="en-US"/>
        </w:rPr>
        <w:t xml:space="preserve"> att godkänna parlamentets ståndpunkt i enlighet med artikel 294.4 i fördraget om Europeiska unionens funktionssätt,</w:t>
      </w:r>
    </w:p>
    <w:p w14:paraId="23639C90" w14:textId="25223276" w:rsidR="000451CD" w:rsidRPr="00557C6E" w:rsidRDefault="000451CD" w:rsidP="000451CD">
      <w:pPr>
        <w:pStyle w:val="NormalHanging12a"/>
      </w:pPr>
      <w:r w:rsidRPr="00557C6E">
        <w:t>–</w:t>
      </w:r>
      <w:r w:rsidRPr="00557C6E">
        <w:tab/>
        <w:t>med beaktande av artikel 60 i arbetsordningen,</w:t>
      </w:r>
    </w:p>
    <w:p w14:paraId="3F7A0B64" w14:textId="77777777" w:rsidR="000451CD" w:rsidRPr="00557C6E" w:rsidRDefault="000451CD" w:rsidP="000451CD">
      <w:pPr>
        <w:pStyle w:val="NormalHanging12a"/>
      </w:pPr>
      <w:r w:rsidRPr="00557C6E">
        <w:t>–</w:t>
      </w:r>
      <w:r w:rsidRPr="00557C6E">
        <w:tab/>
        <w:t>med beaktande av betänkandet från utskottet för den inre marknaden och konsumentskydd (A10-0173/2025).</w:t>
      </w:r>
    </w:p>
    <w:p w14:paraId="4813D551" w14:textId="77777777" w:rsidR="000451CD" w:rsidRPr="00557C6E" w:rsidRDefault="000451CD" w:rsidP="000451CD">
      <w:pPr>
        <w:pStyle w:val="NormalHanging12a"/>
      </w:pPr>
      <w:r w:rsidRPr="00557C6E">
        <w:t>1.</w:t>
      </w:r>
      <w:r w:rsidRPr="00557C6E">
        <w:tab/>
        <w:t>Europaparlamentet antar nedanstående ståndpunkt vid första behandlingen.</w:t>
      </w:r>
    </w:p>
    <w:p w14:paraId="3BEB6409" w14:textId="77777777" w:rsidR="000451CD" w:rsidRPr="00557C6E" w:rsidRDefault="000451CD" w:rsidP="000451CD">
      <w:pPr>
        <w:pStyle w:val="NormalHanging12a"/>
      </w:pPr>
      <w:r w:rsidRPr="00557C6E">
        <w:t>2.</w:t>
      </w:r>
      <w:r w:rsidRPr="00557C6E">
        <w:tab/>
        <w:t>Europaparlamentet uppmanar kommissionen att på nytt lägga fram ärendet för parlamentet om den ersätter, väsentligt ändrar eller har för avsikt att väsentligt ändra sitt förslag.</w:t>
      </w:r>
    </w:p>
    <w:p w14:paraId="50697E6B" w14:textId="77777777" w:rsidR="000451CD" w:rsidRPr="00557C6E" w:rsidRDefault="000451CD" w:rsidP="000451CD">
      <w:pPr>
        <w:pStyle w:val="NormalHanging12a"/>
      </w:pPr>
      <w:r w:rsidRPr="00557C6E">
        <w:t>3.</w:t>
      </w:r>
      <w:r w:rsidRPr="00557C6E">
        <w:tab/>
        <w:t xml:space="preserve">Europaparlamentet uppdrar åt talmannen att översända parlamentets ståndpunkt till rådet, </w:t>
      </w:r>
      <w:r w:rsidRPr="00557C6E">
        <w:lastRenderedPageBreak/>
        <w:t>kommissionen och de nationella parlamenten.</w:t>
      </w:r>
    </w:p>
    <w:p w14:paraId="4045BB17" w14:textId="77777777" w:rsidR="009F51CF" w:rsidRDefault="009F51CF" w:rsidP="000451CD">
      <w:pPr>
        <w:widowControl/>
        <w:sectPr w:rsidR="009F51CF" w:rsidSect="00613FC6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55E0069E" w14:textId="77777777" w:rsidR="00613FC6" w:rsidRPr="00557C6E" w:rsidRDefault="00613FC6" w:rsidP="00613FC6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57C6E">
        <w:rPr>
          <w:b/>
          <w:bCs/>
          <w:color w:val="000000"/>
        </w:rPr>
        <w:lastRenderedPageBreak/>
        <w:t>P10_TC1-COD(2024)0311</w:t>
      </w:r>
    </w:p>
    <w:p w14:paraId="041572BD" w14:textId="2CF97439" w:rsidR="00613FC6" w:rsidRDefault="00613FC6" w:rsidP="007A7444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557C6E">
        <w:rPr>
          <w:b/>
          <w:bCs/>
        </w:rPr>
        <w:t xml:space="preserve">Europaparlamentets ståndpunkt fastställd vid första behandlingen den 10 februari 2026 inför antagandet av Europaparlamentets och rådets direktiv (EU) 2026/… om </w:t>
      </w:r>
      <w:r w:rsidRPr="00557C6E">
        <w:rPr>
          <w:rFonts w:eastAsia="Calibri"/>
          <w:b/>
          <w:szCs w:val="22"/>
          <w:lang w:eastAsia="en-US"/>
        </w:rPr>
        <w:t xml:space="preserve">ändring av direktiv 2014/32/EU vad gäller mätsystem för försörjningsutrustning för elfordon, och tankningsutrustning för komprimerad gas samt el-, gas- och värmeenergimätare </w:t>
      </w:r>
    </w:p>
    <w:p w14:paraId="39A8065E" w14:textId="4AAA3511" w:rsidR="009F51CF" w:rsidRPr="009F51CF" w:rsidRDefault="009F51CF" w:rsidP="009F51CF">
      <w:pPr>
        <w:widowControl/>
        <w:rPr>
          <w:szCs w:val="24"/>
        </w:rPr>
      </w:pPr>
      <w:r w:rsidRPr="009F51CF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</w:t>
      </w:r>
      <w:r w:rsidRPr="009F51CF">
        <w:rPr>
          <w:i/>
          <w:szCs w:val="24"/>
          <w:lang w:eastAsia="en-US"/>
        </w:rPr>
        <w:t>6</w:t>
      </w:r>
      <w:r w:rsidRPr="009F51CF">
        <w:rPr>
          <w:i/>
          <w:szCs w:val="24"/>
          <w:lang w:eastAsia="en-US"/>
        </w:rPr>
        <w:t>/</w:t>
      </w:r>
      <w:r w:rsidRPr="009F51CF">
        <w:rPr>
          <w:i/>
          <w:szCs w:val="24"/>
          <w:lang w:eastAsia="en-US"/>
        </w:rPr>
        <w:t>706</w:t>
      </w:r>
      <w:r w:rsidRPr="009F51CF">
        <w:rPr>
          <w:i/>
          <w:szCs w:val="24"/>
          <w:lang w:eastAsia="en-US"/>
        </w:rPr>
        <w:t>.)</w:t>
      </w:r>
    </w:p>
    <w:p w14:paraId="45D427A6" w14:textId="77777777" w:rsidR="009F51CF" w:rsidRPr="00557C6E" w:rsidRDefault="009F51CF" w:rsidP="007A7444">
      <w:pPr>
        <w:widowControl/>
        <w:spacing w:before="360" w:after="360"/>
        <w:rPr>
          <w:rFonts w:eastAsia="Calibri"/>
          <w:b/>
          <w:szCs w:val="22"/>
          <w:lang w:eastAsia="en-US"/>
        </w:rPr>
      </w:pPr>
    </w:p>
    <w:sectPr w:rsidR="009F51CF" w:rsidRPr="00557C6E" w:rsidSect="009F51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BCFF5" w14:textId="77777777" w:rsidR="00DE4920" w:rsidRPr="00C20234" w:rsidRDefault="00DE4920">
      <w:r w:rsidRPr="00C20234">
        <w:separator/>
      </w:r>
    </w:p>
  </w:endnote>
  <w:endnote w:type="continuationSeparator" w:id="0">
    <w:p w14:paraId="376E061B" w14:textId="77777777" w:rsidR="00DE4920" w:rsidRPr="00C20234" w:rsidRDefault="00DE4920">
      <w:r w:rsidRPr="00C202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64D83" w14:textId="77777777" w:rsidR="00064002" w:rsidRPr="00C202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98F2" w14:textId="77777777" w:rsidR="00064002" w:rsidRPr="00C202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135C" w14:textId="77777777" w:rsidR="00064002" w:rsidRPr="00C202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C5C6C" w14:textId="77777777" w:rsidR="00DE4920" w:rsidRPr="00C20234" w:rsidRDefault="00DE4920">
      <w:r w:rsidRPr="00C20234">
        <w:separator/>
      </w:r>
    </w:p>
  </w:footnote>
  <w:footnote w:type="continuationSeparator" w:id="0">
    <w:p w14:paraId="4E640849" w14:textId="77777777" w:rsidR="00DE4920" w:rsidRPr="00C20234" w:rsidRDefault="00DE4920">
      <w:r w:rsidRPr="00C20234">
        <w:continuationSeparator/>
      </w:r>
    </w:p>
  </w:footnote>
  <w:footnote w:id="1">
    <w:p w14:paraId="38F4B494" w14:textId="20D97247" w:rsidR="000451CD" w:rsidRPr="009D44FB" w:rsidRDefault="000451CD" w:rsidP="00C20234">
      <w:pPr>
        <w:pStyle w:val="FootnoteText"/>
        <w:ind w:left="567" w:hanging="567"/>
        <w:rPr>
          <w:sz w:val="24"/>
          <w:lang w:val="fi-FI"/>
        </w:rPr>
      </w:pPr>
      <w:r w:rsidRPr="00C20234">
        <w:rPr>
          <w:rStyle w:val="FootnoteReference"/>
          <w:sz w:val="24"/>
          <w:lang w:val="sv-SE"/>
        </w:rPr>
        <w:footnoteRef/>
      </w:r>
      <w:r w:rsidR="00C20234" w:rsidRPr="009D44FB">
        <w:rPr>
          <w:sz w:val="24"/>
          <w:lang w:val="fi-FI"/>
        </w:rPr>
        <w:t xml:space="preserve"> </w:t>
      </w:r>
      <w:r w:rsidR="00C20234" w:rsidRPr="009D44FB">
        <w:rPr>
          <w:sz w:val="24"/>
          <w:lang w:val="fi-FI"/>
        </w:rPr>
        <w:tab/>
      </w:r>
      <w:r w:rsidRPr="009D44FB">
        <w:rPr>
          <w:sz w:val="24"/>
          <w:lang w:val="fi-FI"/>
        </w:rPr>
        <w:t xml:space="preserve">EUT C, C/2025/1192, 21.3.2025, ELI: </w:t>
      </w:r>
      <w:hyperlink r:id="rId1" w:history="1">
        <w:r w:rsidRPr="009D44FB">
          <w:rPr>
            <w:rStyle w:val="Hyperlink"/>
            <w:sz w:val="24"/>
            <w:lang w:val="fi-FI"/>
          </w:rPr>
          <w:t>https://eur-lex.europa.eu/eli/C/2025/1192/oj</w:t>
        </w:r>
      </w:hyperlink>
      <w:r w:rsidRPr="009D44F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55071" w14:textId="77777777" w:rsidR="00064002" w:rsidRPr="00C202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6FB3A" w14:textId="77777777" w:rsidR="00064002" w:rsidRPr="00C202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341B" w14:textId="77777777" w:rsidR="00064002" w:rsidRPr="00C202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954899698">
    <w:abstractNumId w:val="0"/>
  </w:num>
  <w:num w:numId="2" w16cid:durableId="1247809995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SV"/>
    <w:docVar w:name="dvnumam" w:val="0"/>
    <w:docVar w:name="dvpe" w:val="773.060"/>
    <w:docVar w:name="dvrapporteur" w:val="Föredragande: "/>
    <w:docVar w:name="dvstar" w:val="***I"/>
    <w:docVar w:name="dvtitre" w:val="Europaparlamentets lagstiftningsresolution av den xx xx 2026 om förslaget till Europaparlamentets och rådets direktiv om ändring av direktiv 2014/32/EU vad gäller försörjningsutrustning för elfordon, tankningsutrustning för komprimerad gas samt el-, gas- och värmeenergimätare(COM(2024)0561 – C10-0205/2024 – 2024/0311(COD))"/>
  </w:docVars>
  <w:rsids>
    <w:rsidRoot w:val="00DE4920"/>
    <w:rsid w:val="00002272"/>
    <w:rsid w:val="000451CD"/>
    <w:rsid w:val="00064002"/>
    <w:rsid w:val="000677B9"/>
    <w:rsid w:val="00081F63"/>
    <w:rsid w:val="000831BA"/>
    <w:rsid w:val="000A42CC"/>
    <w:rsid w:val="000E7DD9"/>
    <w:rsid w:val="0010095E"/>
    <w:rsid w:val="00125B37"/>
    <w:rsid w:val="00187494"/>
    <w:rsid w:val="001B7E2E"/>
    <w:rsid w:val="001F32AE"/>
    <w:rsid w:val="002767FF"/>
    <w:rsid w:val="002B18FE"/>
    <w:rsid w:val="002B5493"/>
    <w:rsid w:val="00310A57"/>
    <w:rsid w:val="00343214"/>
    <w:rsid w:val="00361C00"/>
    <w:rsid w:val="00395FA1"/>
    <w:rsid w:val="003E15D4"/>
    <w:rsid w:val="003E1809"/>
    <w:rsid w:val="00411CCE"/>
    <w:rsid w:val="0041666E"/>
    <w:rsid w:val="00421060"/>
    <w:rsid w:val="00471C19"/>
    <w:rsid w:val="004867E3"/>
    <w:rsid w:val="00494A28"/>
    <w:rsid w:val="004B5232"/>
    <w:rsid w:val="004C0004"/>
    <w:rsid w:val="004C5D52"/>
    <w:rsid w:val="0050519A"/>
    <w:rsid w:val="005072A1"/>
    <w:rsid w:val="00514517"/>
    <w:rsid w:val="00537E70"/>
    <w:rsid w:val="00545827"/>
    <w:rsid w:val="00557C6E"/>
    <w:rsid w:val="00560270"/>
    <w:rsid w:val="005C2568"/>
    <w:rsid w:val="005F1B17"/>
    <w:rsid w:val="006037C0"/>
    <w:rsid w:val="00613FC6"/>
    <w:rsid w:val="006631B6"/>
    <w:rsid w:val="00680577"/>
    <w:rsid w:val="006F74FA"/>
    <w:rsid w:val="00731ADD"/>
    <w:rsid w:val="00734777"/>
    <w:rsid w:val="007420F2"/>
    <w:rsid w:val="00747932"/>
    <w:rsid w:val="00751A4A"/>
    <w:rsid w:val="00756632"/>
    <w:rsid w:val="00762C74"/>
    <w:rsid w:val="00786EC0"/>
    <w:rsid w:val="007A7444"/>
    <w:rsid w:val="007D1690"/>
    <w:rsid w:val="007E22AD"/>
    <w:rsid w:val="007E6FB5"/>
    <w:rsid w:val="00802FA0"/>
    <w:rsid w:val="00817416"/>
    <w:rsid w:val="00842779"/>
    <w:rsid w:val="00865F67"/>
    <w:rsid w:val="00881A7B"/>
    <w:rsid w:val="008840E5"/>
    <w:rsid w:val="008850EB"/>
    <w:rsid w:val="00887B3E"/>
    <w:rsid w:val="008C2AC6"/>
    <w:rsid w:val="00930C23"/>
    <w:rsid w:val="0093193B"/>
    <w:rsid w:val="009509D8"/>
    <w:rsid w:val="00950B64"/>
    <w:rsid w:val="00981893"/>
    <w:rsid w:val="009D1364"/>
    <w:rsid w:val="009D44FB"/>
    <w:rsid w:val="009F51CF"/>
    <w:rsid w:val="00A1687D"/>
    <w:rsid w:val="00A36D24"/>
    <w:rsid w:val="00A43E52"/>
    <w:rsid w:val="00A4678D"/>
    <w:rsid w:val="00A778C7"/>
    <w:rsid w:val="00AB441E"/>
    <w:rsid w:val="00AB6293"/>
    <w:rsid w:val="00AD62E1"/>
    <w:rsid w:val="00AE0928"/>
    <w:rsid w:val="00AF3B82"/>
    <w:rsid w:val="00B12E95"/>
    <w:rsid w:val="00B22876"/>
    <w:rsid w:val="00B4111E"/>
    <w:rsid w:val="00B558F0"/>
    <w:rsid w:val="00BD48FE"/>
    <w:rsid w:val="00BD7BD8"/>
    <w:rsid w:val="00BE6ADC"/>
    <w:rsid w:val="00C05BFE"/>
    <w:rsid w:val="00C20234"/>
    <w:rsid w:val="00C23CD4"/>
    <w:rsid w:val="00C61C0C"/>
    <w:rsid w:val="00C941CB"/>
    <w:rsid w:val="00CC2357"/>
    <w:rsid w:val="00CF071A"/>
    <w:rsid w:val="00D058B8"/>
    <w:rsid w:val="00D56C11"/>
    <w:rsid w:val="00D75312"/>
    <w:rsid w:val="00D834A0"/>
    <w:rsid w:val="00D872DF"/>
    <w:rsid w:val="00D91E21"/>
    <w:rsid w:val="00DA3934"/>
    <w:rsid w:val="00DA7FCD"/>
    <w:rsid w:val="00DE4920"/>
    <w:rsid w:val="00E365E1"/>
    <w:rsid w:val="00E505FD"/>
    <w:rsid w:val="00E820A4"/>
    <w:rsid w:val="00EB006A"/>
    <w:rsid w:val="00EB4772"/>
    <w:rsid w:val="00ED169E"/>
    <w:rsid w:val="00ED4235"/>
    <w:rsid w:val="00F041A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C06FE"/>
  <w15:chartTrackingRefBased/>
  <w15:docId w15:val="{0D97901F-28EE-4A18-ADC6-0F74F9F9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0451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451CD"/>
    <w:rPr>
      <w:b/>
    </w:rPr>
  </w:style>
  <w:style w:type="paragraph" w:customStyle="1" w:styleId="NormalHanging12a">
    <w:name w:val="NormalHanging12a"/>
    <w:basedOn w:val="Normal"/>
    <w:rsid w:val="000451CD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0451CD"/>
    <w:pPr>
      <w:spacing w:before="240"/>
    </w:pPr>
    <w:rPr>
      <w:b/>
    </w:rPr>
  </w:style>
  <w:style w:type="paragraph" w:customStyle="1" w:styleId="EPComma">
    <w:name w:val="EPComma"/>
    <w:basedOn w:val="Normal"/>
    <w:rsid w:val="000451CD"/>
    <w:pPr>
      <w:spacing w:before="480" w:after="240"/>
    </w:pPr>
  </w:style>
  <w:style w:type="character" w:styleId="Hyperlink">
    <w:name w:val="Hyperlink"/>
    <w:basedOn w:val="DefaultParagraphFont"/>
    <w:unhideWhenUsed/>
    <w:rsid w:val="000451CD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0451CD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0451C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451CD"/>
    <w:rPr>
      <w:b/>
      <w:sz w:val="24"/>
      <w:lang w:val="sv-SE"/>
    </w:rPr>
  </w:style>
  <w:style w:type="paragraph" w:customStyle="1" w:styleId="ColumnHeading">
    <w:name w:val="ColumnHeading"/>
    <w:basedOn w:val="Normal"/>
    <w:rsid w:val="000451C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451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AD62E1"/>
    <w:rPr>
      <w:sz w:val="24"/>
      <w:lang w:val="sv-SE"/>
    </w:rPr>
  </w:style>
  <w:style w:type="paragraph" w:styleId="Header">
    <w:name w:val="header"/>
    <w:basedOn w:val="Normal"/>
    <w:link w:val="HeaderChar"/>
    <w:uiPriority w:val="99"/>
    <w:rsid w:val="00613F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3FC6"/>
    <w:rPr>
      <w:sz w:val="24"/>
      <w:lang w:val="sv-SE"/>
    </w:rPr>
  </w:style>
  <w:style w:type="paragraph" w:customStyle="1" w:styleId="AmDocTypeTab">
    <w:name w:val="AmDocTypeTab"/>
    <w:basedOn w:val="Normal"/>
    <w:rsid w:val="00613FC6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613FC6"/>
    <w:pPr>
      <w:spacing w:after="240"/>
    </w:pPr>
  </w:style>
  <w:style w:type="paragraph" w:customStyle="1" w:styleId="EPFooter2">
    <w:name w:val="EPFooter2"/>
    <w:basedOn w:val="Normal"/>
    <w:next w:val="Normal"/>
    <w:rsid w:val="00613F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613FC6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613FC6"/>
    <w:pPr>
      <w:spacing w:after="240"/>
      <w:jc w:val="center"/>
    </w:pPr>
  </w:style>
  <w:style w:type="paragraph" w:customStyle="1" w:styleId="AmDateTab">
    <w:name w:val="AmDateTab"/>
    <w:basedOn w:val="Normal"/>
    <w:rsid w:val="00613FC6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613F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13FC6"/>
    <w:pPr>
      <w:spacing w:before="720" w:after="240"/>
      <w:jc w:val="center"/>
    </w:pPr>
  </w:style>
  <w:style w:type="paragraph" w:customStyle="1" w:styleId="EPFooter">
    <w:name w:val="EPFooter"/>
    <w:basedOn w:val="Normal"/>
    <w:rsid w:val="00613F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613FC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613F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3FC6"/>
    <w:rPr>
      <w:sz w:val="24"/>
      <w:lang w:val="sv-SE"/>
    </w:rPr>
  </w:style>
  <w:style w:type="numbering" w:customStyle="1" w:styleId="NoList1">
    <w:name w:val="No List1"/>
    <w:next w:val="NoList"/>
    <w:uiPriority w:val="99"/>
    <w:semiHidden/>
    <w:unhideWhenUsed/>
    <w:rsid w:val="00613FC6"/>
  </w:style>
  <w:style w:type="character" w:customStyle="1" w:styleId="Heading1Char">
    <w:name w:val="Heading 1 Char"/>
    <w:basedOn w:val="DefaultParagraphFont"/>
    <w:link w:val="Heading1"/>
    <w:uiPriority w:val="9"/>
    <w:rsid w:val="00613FC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13FC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FC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FC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FC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FC6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FC6"/>
    <w:rPr>
      <w:rFonts w:ascii="Arial" w:hAnsi="Arial"/>
      <w:sz w:val="24"/>
      <w:lang w:val="sv-SE"/>
    </w:rPr>
  </w:style>
  <w:style w:type="paragraph" w:styleId="TOC4">
    <w:name w:val="toc 4"/>
    <w:basedOn w:val="Normal"/>
    <w:next w:val="Normal"/>
    <w:uiPriority w:val="39"/>
    <w:unhideWhenUsed/>
    <w:rsid w:val="00613FC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13FC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13FC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13FC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13FC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13FC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13FC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13FC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13FC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13FC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13FC6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13FC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13FC6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13FC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13FC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13FC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13FC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13FC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13FC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13FC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13FC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13FC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13FC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13FC6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13FC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13FC6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13FC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13F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13FC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13FC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13FC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13FC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13FC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13FC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13FC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13FC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13FC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13FC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13FC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13FC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13FC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13FC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13FC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13FC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13FC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13FC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13FC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13FC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13FC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13FC6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13FC6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13FC6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13FC6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13FC6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13FC6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13FC6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13FC6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13FC6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13FC6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13FC6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13FC6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13FC6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13FC6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13FC6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13FC6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13F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13F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13F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13F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13FC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13FC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13FC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13FC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13FC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13F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13F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13F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13F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13F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13F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13FC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13FC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13FC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13FC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13FC6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13FC6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13FC6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13FC6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13FC6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13FC6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13FC6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13FC6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13FC6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13FC6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13FC6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13FC6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13FC6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13FC6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13FC6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13FC6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13FC6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13FC6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13FC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13FC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13FC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13FC6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13FC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13FC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13FC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13FC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13FC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13F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13FC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13FC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13FC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13FC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13FC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13FC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13FC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13FC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13FC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13FC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13FC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13FC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13FC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13FC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13FC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13FC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13FC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13FC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13FC6"/>
    <w:pPr>
      <w:spacing w:before="240"/>
    </w:pPr>
  </w:style>
  <w:style w:type="paragraph" w:customStyle="1" w:styleId="Accordtitre">
    <w:name w:val="Accord titre"/>
    <w:basedOn w:val="Normal"/>
    <w:rsid w:val="00613FC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13FC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13FC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13FC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13FC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13FC6"/>
    <w:pPr>
      <w:spacing w:after="240"/>
    </w:pPr>
  </w:style>
  <w:style w:type="paragraph" w:customStyle="1" w:styleId="Annexetitre">
    <w:name w:val="Annexe titre"/>
    <w:basedOn w:val="Normal"/>
    <w:next w:val="Normal"/>
    <w:rsid w:val="00613FC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13FC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13FC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13FC6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613FC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13F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13F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13F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13F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13FC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13FC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13FC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13FC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13FC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13FC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13FC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13FC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13FC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13FC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13FC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13FC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13FC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13FC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13FC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13FC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13FC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13FC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13FC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13FC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13FC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13F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13FC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613FC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13FC6"/>
    <w:pPr>
      <w:pBdr>
        <w:top w:val="none" w:sz="0" w:space="0" w:color="auto"/>
        <w:left w:val="single" w:sz="4" w:space="20" w:color="auto"/>
      </w:pBdr>
    </w:pPr>
  </w:style>
  <w:style w:type="paragraph" w:styleId="CommentText">
    <w:name w:val="annotation text"/>
    <w:basedOn w:val="Normal"/>
    <w:link w:val="CommentTextChar"/>
    <w:uiPriority w:val="99"/>
    <w:unhideWhenUsed/>
    <w:rsid w:val="00613FC6"/>
    <w:pPr>
      <w:widowControl/>
      <w:spacing w:before="120" w:after="120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FC6"/>
    <w:rPr>
      <w:rFonts w:eastAsia="Calibri"/>
      <w:lang w:val="sv-SE" w:eastAsia="en-US"/>
    </w:rPr>
  </w:style>
  <w:style w:type="character" w:styleId="CommentReference">
    <w:name w:val="annotation reference"/>
    <w:basedOn w:val="DefaultParagraphFont"/>
    <w:uiPriority w:val="99"/>
    <w:unhideWhenUsed/>
    <w:rsid w:val="00613FC6"/>
    <w:rPr>
      <w:sz w:val="16"/>
      <w:szCs w:val="16"/>
    </w:rPr>
  </w:style>
  <w:style w:type="character" w:customStyle="1" w:styleId="Hyperlink1">
    <w:name w:val="Hyperlink1"/>
    <w:basedOn w:val="DefaultParagraphFont"/>
    <w:uiPriority w:val="99"/>
    <w:unhideWhenUsed/>
    <w:rsid w:val="00613FC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FC6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13F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13FC6"/>
    <w:rPr>
      <w:rFonts w:eastAsia="Calibri"/>
      <w:b/>
      <w:bCs/>
      <w:lang w:val="sv-SE"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13FC6"/>
    <w:rPr>
      <w:color w:val="954F72"/>
      <w:u w:val="single"/>
    </w:rPr>
  </w:style>
  <w:style w:type="character" w:styleId="FollowedHyperlink">
    <w:name w:val="FollowedHyperlink"/>
    <w:basedOn w:val="DefaultParagraphFont"/>
    <w:rsid w:val="00613F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291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2026-04-14T09:52:00Z</dcterms:created>
  <dcterms:modified xsi:type="dcterms:W3CDTF">2026-04-14T09:52:00Z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