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7943" w14:paraId="16C834FF" w14:textId="77777777" w:rsidTr="0010095E">
        <w:trPr>
          <w:trHeight w:hRule="exact" w:val="1418"/>
        </w:trPr>
        <w:tc>
          <w:tcPr>
            <w:tcW w:w="6804" w:type="dxa"/>
            <w:shd w:val="clear" w:color="auto" w:fill="auto"/>
            <w:vAlign w:val="center"/>
          </w:tcPr>
          <w:p w14:paraId="02CB72D8" w14:textId="6F8894CD" w:rsidR="00751A4A" w:rsidRPr="008E7943" w:rsidRDefault="007F4360" w:rsidP="0010095E">
            <w:pPr>
              <w:pStyle w:val="EPName"/>
            </w:pPr>
            <w:r w:rsidRPr="008E7943">
              <w:t>Европейски</w:t>
            </w:r>
            <w:r w:rsidR="00AB023C" w:rsidRPr="008E7943">
              <w:t xml:space="preserve"> парламент</w:t>
            </w:r>
          </w:p>
          <w:p w14:paraId="52017BDE" w14:textId="5E99FF3A" w:rsidR="00751A4A" w:rsidRPr="008E7943" w:rsidRDefault="005F1B17" w:rsidP="005F1B17">
            <w:pPr>
              <w:pStyle w:val="EPTerm"/>
              <w:rPr>
                <w:rStyle w:val="HideTWBExt"/>
                <w:noProof w:val="0"/>
                <w:vanish w:val="0"/>
                <w:color w:val="auto"/>
              </w:rPr>
            </w:pPr>
            <w:r w:rsidRPr="008E7943">
              <w:t>2024</w:t>
            </w:r>
            <w:r w:rsidR="007F4360">
              <w:t> – </w:t>
            </w:r>
            <w:r w:rsidR="00817416" w:rsidRPr="008E7943">
              <w:t>202</w:t>
            </w:r>
            <w:r w:rsidRPr="008E7943">
              <w:t>9</w:t>
            </w:r>
          </w:p>
        </w:tc>
        <w:tc>
          <w:tcPr>
            <w:tcW w:w="2268" w:type="dxa"/>
            <w:shd w:val="clear" w:color="auto" w:fill="auto"/>
          </w:tcPr>
          <w:p w14:paraId="1DF9E4B8" w14:textId="77777777" w:rsidR="00751A4A" w:rsidRPr="008E7943" w:rsidRDefault="00187494" w:rsidP="0010095E">
            <w:pPr>
              <w:pStyle w:val="EPLogo"/>
            </w:pPr>
            <w:r w:rsidRPr="008E7943">
              <w:rPr>
                <w:noProof/>
                <w:lang w:eastAsia="ja-JP"/>
              </w:rPr>
              <w:drawing>
                <wp:inline distT="0" distB="0" distL="0" distR="0" wp14:anchorId="08C98515" wp14:editId="36031F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A5DF6C" w14:textId="77777777" w:rsidR="00D058B8" w:rsidRPr="008E7943" w:rsidRDefault="00D058B8" w:rsidP="004C5D52">
      <w:pPr>
        <w:pStyle w:val="LineTop"/>
      </w:pPr>
    </w:p>
    <w:p w14:paraId="0B790256" w14:textId="77777777" w:rsidR="00680577" w:rsidRPr="008E7943" w:rsidRDefault="00AB023C" w:rsidP="00680577">
      <w:pPr>
        <w:pStyle w:val="EPBodyTA1"/>
      </w:pPr>
      <w:r w:rsidRPr="008E7943">
        <w:t>ПРИЕТИ ТЕКСТОВЕ</w:t>
      </w:r>
    </w:p>
    <w:p w14:paraId="3C5B5763" w14:textId="77777777" w:rsidR="00D058B8" w:rsidRPr="008E7943" w:rsidRDefault="00D058B8" w:rsidP="00D058B8">
      <w:pPr>
        <w:pStyle w:val="LineBottom"/>
      </w:pPr>
    </w:p>
    <w:p w14:paraId="17344902" w14:textId="56F8A6D2" w:rsidR="00AB023C" w:rsidRPr="008E7943" w:rsidRDefault="00AB023C" w:rsidP="00AB023C">
      <w:pPr>
        <w:pStyle w:val="ATHeading1"/>
      </w:pPr>
      <w:bookmarkStart w:id="0" w:name="TANumber"/>
      <w:r w:rsidRPr="008E7943">
        <w:t>P10_TA(2026)00</w:t>
      </w:r>
      <w:r w:rsidR="00241B9C">
        <w:t>3</w:t>
      </w:r>
      <w:r w:rsidRPr="008E7943">
        <w:t>0</w:t>
      </w:r>
      <w:bookmarkEnd w:id="0"/>
    </w:p>
    <w:p w14:paraId="4BE1959C" w14:textId="52049F1E" w:rsidR="00AB023C" w:rsidRPr="008E7943" w:rsidRDefault="00A866F4" w:rsidP="00AB023C">
      <w:pPr>
        <w:pStyle w:val="ATHeading2"/>
      </w:pPr>
      <w:r w:rsidRPr="00A866F4">
        <w:t>Двустранн</w:t>
      </w:r>
      <w:r w:rsidR="00353EE7">
        <w:t>и</w:t>
      </w:r>
      <w:r w:rsidRPr="00A866F4">
        <w:t xml:space="preserve"> защитн</w:t>
      </w:r>
      <w:r w:rsidR="00353EE7">
        <w:t>и</w:t>
      </w:r>
      <w:r w:rsidRPr="00A866F4">
        <w:t xml:space="preserve"> клауз</w:t>
      </w:r>
      <w:r w:rsidR="00353EE7">
        <w:t>и</w:t>
      </w:r>
      <w:r w:rsidRPr="00A866F4">
        <w:t xml:space="preserve"> на Споразумението за партньорство ЕС—Меркосур и Временното споразумение за търговия ЕС—Меркосур по отношение на селскостопанските продукти</w:t>
      </w:r>
    </w:p>
    <w:p w14:paraId="2835713E" w14:textId="77777777" w:rsidR="00AB023C" w:rsidRPr="008E7943" w:rsidRDefault="00AB023C" w:rsidP="00AB023C">
      <w:pPr>
        <w:rPr>
          <w:i/>
          <w:vanish/>
        </w:rPr>
      </w:pPr>
      <w:r w:rsidRPr="008E7943">
        <w:rPr>
          <w:i/>
        </w:rPr>
        <w:fldChar w:fldCharType="begin"/>
      </w:r>
      <w:r w:rsidRPr="008E7943">
        <w:rPr>
          <w:i/>
        </w:rPr>
        <w:instrText xml:space="preserve"> TC"(</w:instrText>
      </w:r>
      <w:bookmarkStart w:id="1" w:name="DocNumber"/>
      <w:r w:rsidRPr="008E7943">
        <w:rPr>
          <w:i/>
        </w:rPr>
        <w:instrText>A10-0254/2025</w:instrText>
      </w:r>
      <w:bookmarkEnd w:id="1"/>
      <w:r w:rsidRPr="008E7943">
        <w:rPr>
          <w:i/>
        </w:rPr>
        <w:instrText xml:space="preserve"> - Докладчик: Габриел Мато)"\l3 \n&gt; \* MERGEFORMAT </w:instrText>
      </w:r>
      <w:r w:rsidRPr="008E7943">
        <w:rPr>
          <w:i/>
        </w:rPr>
        <w:fldChar w:fldCharType="end"/>
      </w:r>
    </w:p>
    <w:p w14:paraId="25461CC2" w14:textId="77777777" w:rsidR="00AB023C" w:rsidRPr="008E7943" w:rsidRDefault="00AB023C" w:rsidP="00AB023C">
      <w:pPr>
        <w:rPr>
          <w:vanish/>
        </w:rPr>
      </w:pPr>
      <w:bookmarkStart w:id="2" w:name="Commission"/>
      <w:r w:rsidRPr="008E7943">
        <w:rPr>
          <w:vanish/>
        </w:rPr>
        <w:t>Комисия по международна търговия</w:t>
      </w:r>
      <w:bookmarkEnd w:id="2"/>
    </w:p>
    <w:p w14:paraId="0DCA1206" w14:textId="77777777" w:rsidR="00AB023C" w:rsidRPr="008E7943" w:rsidRDefault="00AB023C" w:rsidP="00AB023C">
      <w:pPr>
        <w:rPr>
          <w:vanish/>
        </w:rPr>
      </w:pPr>
      <w:bookmarkStart w:id="3" w:name="PE"/>
      <w:r w:rsidRPr="008E7943">
        <w:rPr>
          <w:vanish/>
        </w:rPr>
        <w:t>PE779.615</w:t>
      </w:r>
      <w:bookmarkEnd w:id="3"/>
    </w:p>
    <w:p w14:paraId="1C2237F7" w14:textId="0790E3E8" w:rsidR="00AB023C" w:rsidRPr="008E7943" w:rsidRDefault="00AB023C" w:rsidP="00AB023C">
      <w:pPr>
        <w:pStyle w:val="ATHeading3"/>
      </w:pPr>
      <w:bookmarkStart w:id="4" w:name="Sujet"/>
      <w:r w:rsidRPr="008E7943">
        <w:t xml:space="preserve">Законодателна резолюция на Европейския парламент от </w:t>
      </w:r>
      <w:r w:rsidR="005847C4">
        <w:t>10</w:t>
      </w:r>
      <w:r w:rsidRPr="008E7943">
        <w:t xml:space="preserve"> </w:t>
      </w:r>
      <w:r w:rsidR="007F4360">
        <w:t xml:space="preserve">февруари </w:t>
      </w:r>
      <w:r w:rsidRPr="008E7943">
        <w:t>2026 г. относно предложението за регламент на Европейския парламент и на Съвета за прилагане на двустранната защитна клауза на Споразумението за партньорство ЕС—Меркосур и Временното споразумение за търговия ЕС—Меркосур по отношение на селскостопанските продукти</w:t>
      </w:r>
      <w:bookmarkEnd w:id="4"/>
      <w:r w:rsidRPr="008E7943">
        <w:t xml:space="preserve"> </w:t>
      </w:r>
      <w:bookmarkStart w:id="5" w:name="References"/>
      <w:r w:rsidRPr="008E7943">
        <w:t>(COM(2025)0639 – C10-0247/2025 – 2025/0322(COD))</w:t>
      </w:r>
      <w:bookmarkEnd w:id="5"/>
    </w:p>
    <w:p w14:paraId="4A6410BE" w14:textId="61C87E7B" w:rsidR="00AA222E" w:rsidRPr="008E7943" w:rsidRDefault="00A866F4" w:rsidP="00AA222E">
      <w:pPr>
        <w:pStyle w:val="NormalBold"/>
      </w:pPr>
      <w:r w:rsidRPr="0012465A">
        <w:rPr>
          <w:lang w:val="ru-RU"/>
        </w:rPr>
        <w:t>(</w:t>
      </w:r>
      <w:r w:rsidR="00AA222E" w:rsidRPr="008E7943">
        <w:t>Обикновена законодателна процедура: първо четене)</w:t>
      </w:r>
    </w:p>
    <w:p w14:paraId="7BE31FC9" w14:textId="77777777" w:rsidR="00AA222E" w:rsidRPr="008E7943" w:rsidRDefault="00AA222E" w:rsidP="00AA222E">
      <w:pPr>
        <w:pStyle w:val="EPComma"/>
      </w:pPr>
      <w:r w:rsidRPr="008E7943">
        <w:rPr>
          <w:i/>
          <w:iCs/>
        </w:rPr>
        <w:t>Европейският парламент</w:t>
      </w:r>
      <w:r w:rsidRPr="008E7943">
        <w:t>,</w:t>
      </w:r>
    </w:p>
    <w:p w14:paraId="53476F42" w14:textId="55125902" w:rsidR="00AA222E" w:rsidRPr="008E7943" w:rsidRDefault="00AA222E" w:rsidP="00AA222E">
      <w:pPr>
        <w:pStyle w:val="NormalHanging12a"/>
      </w:pPr>
      <w:r w:rsidRPr="008E7943">
        <w:t>–</w:t>
      </w:r>
      <w:r w:rsidRPr="008E7943">
        <w:tab/>
        <w:t xml:space="preserve">като взе предвид предложението на Комисията до </w:t>
      </w:r>
      <w:r w:rsidR="007F4360">
        <w:t>П</w:t>
      </w:r>
      <w:r w:rsidRPr="008E7943">
        <w:t>арламент</w:t>
      </w:r>
      <w:r w:rsidR="007F4360">
        <w:t>а</w:t>
      </w:r>
      <w:r w:rsidRPr="008E7943">
        <w:t xml:space="preserve"> и до Съвета (COM(2025)0639),</w:t>
      </w:r>
    </w:p>
    <w:p w14:paraId="76841FF3" w14:textId="77777777" w:rsidR="00AA222E" w:rsidRPr="008E7943" w:rsidRDefault="00AA222E" w:rsidP="00AA222E">
      <w:pPr>
        <w:pStyle w:val="NormalHanging12a"/>
      </w:pPr>
      <w:r w:rsidRPr="008E7943">
        <w:t>–</w:t>
      </w:r>
      <w:r w:rsidRPr="008E7943">
        <w:tab/>
        <w:t>като взе предвид член 294, параграф 2 и член 207, параграф 2 от Договора за функционирането на Европейския съюз, съгласно които Комисията е внесла предложението в Парламента (C10</w:t>
      </w:r>
      <w:r w:rsidRPr="008E7943">
        <w:noBreakHyphen/>
        <w:t>0247/2025),</w:t>
      </w:r>
    </w:p>
    <w:p w14:paraId="45CA9979" w14:textId="77777777" w:rsidR="00AA222E" w:rsidRDefault="00AA222E" w:rsidP="00AA222E">
      <w:pPr>
        <w:pStyle w:val="NormalHanging12a"/>
      </w:pPr>
      <w:r w:rsidRPr="008E7943">
        <w:t>–</w:t>
      </w:r>
      <w:r w:rsidRPr="008E7943">
        <w:tab/>
        <w:t>като взе предвид член 294, параграф 3 от Договора за функционирането на Европейския съюз,</w:t>
      </w:r>
    </w:p>
    <w:p w14:paraId="64451349" w14:textId="3377838F" w:rsidR="005847C4" w:rsidRPr="008E7943" w:rsidRDefault="005847C4" w:rsidP="00AA222E">
      <w:pPr>
        <w:pStyle w:val="NormalHanging12a"/>
      </w:pPr>
      <w:r w:rsidRPr="008E7943">
        <w:t>–</w:t>
      </w:r>
      <w:r w:rsidRPr="008E7943">
        <w:tab/>
      </w:r>
      <w:r w:rsidRPr="005847C4">
        <w:t xml:space="preserve">като взе предвид временното споразумение, одобрено от компетентната комисия съгласно член 75, параграф 4 от своя Правилник за дейността, и поетия с писмо от </w:t>
      </w:r>
      <w:r>
        <w:t>9 януари</w:t>
      </w:r>
      <w:r w:rsidRPr="005847C4">
        <w:t xml:space="preserve"> 202</w:t>
      </w:r>
      <w:r>
        <w:t>6</w:t>
      </w:r>
      <w:r w:rsidRPr="005847C4">
        <w:t xml:space="preserve"> г. ангажимент на представителя на Съвета за одобряване на позицията на Парламента в съответствие с член 294, параграф 4 от Договора за функционирането на Европейския съюз,</w:t>
      </w:r>
    </w:p>
    <w:p w14:paraId="086E9BE4" w14:textId="77777777" w:rsidR="00AA222E" w:rsidRPr="008E7943" w:rsidRDefault="00AA222E" w:rsidP="00AA222E">
      <w:pPr>
        <w:pStyle w:val="NormalHanging12a"/>
      </w:pPr>
      <w:r w:rsidRPr="008E7943">
        <w:t>–</w:t>
      </w:r>
      <w:r w:rsidRPr="008E7943">
        <w:tab/>
        <w:t>като взе предвид член 60 от своя Правилник за дейността,</w:t>
      </w:r>
    </w:p>
    <w:p w14:paraId="165F20A5" w14:textId="6BEC7119" w:rsidR="00AA222E" w:rsidRPr="008E7943" w:rsidRDefault="00AA222E" w:rsidP="00AA222E">
      <w:pPr>
        <w:pStyle w:val="NormalHanging12a"/>
      </w:pPr>
      <w:r w:rsidRPr="008E7943">
        <w:t>–</w:t>
      </w:r>
      <w:r w:rsidRPr="008E7943">
        <w:tab/>
        <w:t>като взе предвид доклада на комисията по международна търговия (A10-02</w:t>
      </w:r>
      <w:r w:rsidR="00F3720D">
        <w:rPr>
          <w:lang w:val="en-GB"/>
        </w:rPr>
        <w:t>54</w:t>
      </w:r>
      <w:r w:rsidRPr="008E7943">
        <w:t>/2025),</w:t>
      </w:r>
    </w:p>
    <w:p w14:paraId="5A7410DD" w14:textId="24248D82" w:rsidR="00AA222E" w:rsidRPr="008E7943" w:rsidRDefault="00AA222E" w:rsidP="00AA222E">
      <w:pPr>
        <w:pStyle w:val="NormalHanging12a"/>
      </w:pPr>
      <w:r w:rsidRPr="008E7943">
        <w:lastRenderedPageBreak/>
        <w:t>1.</w:t>
      </w:r>
      <w:r w:rsidRPr="008E7943">
        <w:tab/>
        <w:t>приема изложената по-долу позиция на първо четене</w:t>
      </w:r>
      <w:r w:rsidR="00625047">
        <w:rPr>
          <w:rStyle w:val="FootnoteReference"/>
        </w:rPr>
        <w:footnoteReference w:id="1"/>
      </w:r>
      <w:r w:rsidRPr="008E7943">
        <w:t>;</w:t>
      </w:r>
    </w:p>
    <w:p w14:paraId="1E138D09" w14:textId="6F8898B7" w:rsidR="005847C4" w:rsidRDefault="005847C4" w:rsidP="00AA222E">
      <w:pPr>
        <w:pStyle w:val="NormalHanging12a"/>
      </w:pPr>
      <w:r>
        <w:t>2</w:t>
      </w:r>
      <w:r w:rsidRPr="008E7943">
        <w:t>.</w:t>
      </w:r>
      <w:r w:rsidRPr="008E7943">
        <w:tab/>
      </w:r>
      <w:r w:rsidRPr="005847C4">
        <w:t xml:space="preserve">приема за сведение изявлението на Комисията, приложено към настоящата резолюция, което ще бъде публикувано в серия </w:t>
      </w:r>
      <w:r>
        <w:t>С</w:t>
      </w:r>
      <w:r w:rsidRPr="005847C4">
        <w:t xml:space="preserve"> на </w:t>
      </w:r>
      <w:r w:rsidRPr="0012465A">
        <w:rPr>
          <w:i/>
          <w:iCs/>
        </w:rPr>
        <w:t>Официален вестник на Европейския съюз</w:t>
      </w:r>
      <w:r w:rsidRPr="005847C4">
        <w:t xml:space="preserve">; </w:t>
      </w:r>
    </w:p>
    <w:p w14:paraId="31B7CD98" w14:textId="7A99ABBA" w:rsidR="00AA222E" w:rsidRPr="008E7943" w:rsidRDefault="005847C4" w:rsidP="00AA222E">
      <w:pPr>
        <w:pStyle w:val="NormalHanging12a"/>
      </w:pPr>
      <w:r>
        <w:t>3</w:t>
      </w:r>
      <w:r w:rsidR="00AA222E" w:rsidRPr="008E7943">
        <w:t>.</w:t>
      </w:r>
      <w:r w:rsidR="00AA222E" w:rsidRPr="008E7943">
        <w:tab/>
        <w:t>приканва Комисията отново да се отнесе до него, в случай че замени своето предложение с друг текст</w:t>
      </w:r>
      <w:r w:rsidR="007F4360">
        <w:t>,</w:t>
      </w:r>
      <w:r w:rsidR="00AA222E" w:rsidRPr="008E7943">
        <w:t xml:space="preserve"> внесе или възнамерява да внесе съществени изменения в това предложение;</w:t>
      </w:r>
    </w:p>
    <w:p w14:paraId="73571BDA" w14:textId="745DE6DE" w:rsidR="00AA222E" w:rsidRPr="008E7943" w:rsidRDefault="005847C4" w:rsidP="00AA222E">
      <w:pPr>
        <w:pStyle w:val="NormalHanging12a"/>
      </w:pPr>
      <w:r>
        <w:t>4</w:t>
      </w:r>
      <w:r w:rsidR="00AA222E" w:rsidRPr="008E7943">
        <w:t>.</w:t>
      </w:r>
      <w:r w:rsidR="00AA222E" w:rsidRPr="008E7943">
        <w:tab/>
        <w:t>възлага на своя председател да предаде позицията на Парламента съответно на Съвета и на Комисията, както и на националните парламенти.</w:t>
      </w:r>
    </w:p>
    <w:p w14:paraId="186C567A" w14:textId="77777777" w:rsidR="005847C4" w:rsidRPr="0012465A" w:rsidRDefault="005847C4" w:rsidP="00AA222E">
      <w:pPr>
        <w:widowControl/>
        <w:rPr>
          <w:lang w:val="ru-RU"/>
        </w:rPr>
      </w:pPr>
    </w:p>
    <w:p w14:paraId="62BA6794" w14:textId="77777777" w:rsidR="00625047" w:rsidRPr="0012465A" w:rsidRDefault="00625047" w:rsidP="00AA222E">
      <w:pPr>
        <w:widowControl/>
        <w:rPr>
          <w:lang w:val="ru-RU"/>
        </w:rPr>
      </w:pPr>
    </w:p>
    <w:p w14:paraId="57274461" w14:textId="77777777" w:rsidR="00625047" w:rsidRPr="0012465A" w:rsidRDefault="00625047" w:rsidP="00AA222E">
      <w:pPr>
        <w:widowControl/>
        <w:rPr>
          <w:lang w:val="ru-RU"/>
        </w:rPr>
        <w:sectPr w:rsidR="00625047" w:rsidRPr="0012465A" w:rsidSect="008E79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4D58D9" w14:textId="77777777" w:rsidR="005847C4" w:rsidRPr="00D775EE" w:rsidRDefault="005847C4" w:rsidP="005847C4">
      <w:pPr>
        <w:autoSpaceDE w:val="0"/>
        <w:autoSpaceDN w:val="0"/>
        <w:adjustRightInd w:val="0"/>
        <w:spacing w:after="240"/>
        <w:rPr>
          <w:rFonts w:eastAsia="Calibri"/>
          <w:b/>
          <w:bCs/>
          <w:color w:val="000000"/>
          <w:szCs w:val="24"/>
        </w:rPr>
      </w:pPr>
      <w:r w:rsidRPr="00D775EE">
        <w:rPr>
          <w:rFonts w:eastAsia="Calibri"/>
          <w:b/>
          <w:bCs/>
          <w:color w:val="000000"/>
          <w:szCs w:val="24"/>
        </w:rPr>
        <w:lastRenderedPageBreak/>
        <w:t>P10_TC1-COD(2025)0322</w:t>
      </w:r>
    </w:p>
    <w:p w14:paraId="7181951B" w14:textId="0DA44AAA" w:rsidR="005847C4" w:rsidRDefault="005847C4" w:rsidP="005847C4">
      <w:pPr>
        <w:pStyle w:val="AmNumberTabs"/>
        <w:rPr>
          <w:rFonts w:eastAsia="Calibri"/>
          <w:szCs w:val="22"/>
          <w:lang w:eastAsia="en-US"/>
        </w:rPr>
      </w:pPr>
      <w:r w:rsidRPr="005847C4">
        <w:t xml:space="preserve">Позиция на Европейския парламент, приета на първо четене на </w:t>
      </w:r>
      <w:r>
        <w:t>10 февруари</w:t>
      </w:r>
      <w:r w:rsidRPr="005847C4">
        <w:t xml:space="preserve"> 202</w:t>
      </w:r>
      <w:r>
        <w:t>6 </w:t>
      </w:r>
      <w:r w:rsidRPr="005847C4">
        <w:t>г. с оглед на приемането на Регламент (ЕС) 202</w:t>
      </w:r>
      <w:r>
        <w:t>6</w:t>
      </w:r>
      <w:r w:rsidRPr="005847C4">
        <w:t xml:space="preserve">/... на Европейския парламент и на Съвета </w:t>
      </w:r>
      <w:r w:rsidRPr="005847C4">
        <w:rPr>
          <w:rFonts w:eastAsia="Calibri"/>
          <w:szCs w:val="22"/>
          <w:lang w:eastAsia="en-US"/>
        </w:rPr>
        <w:t>за прилагане на двустранните защитни клаузи на Споразумението за партньорство ЕС— Меркосур и Временното споразумение за търговия ЕС—Меркосур по отношение на селскостопанските продукти</w:t>
      </w:r>
    </w:p>
    <w:p w14:paraId="5FA21A90" w14:textId="46363513" w:rsidR="00BE41F4" w:rsidRPr="00644D08" w:rsidRDefault="00644D08" w:rsidP="00644D08">
      <w:pPr>
        <w:pStyle w:val="AmNumberTabs"/>
        <w:rPr>
          <w:b w:val="0"/>
          <w:bCs/>
          <w:i/>
          <w:szCs w:val="24"/>
        </w:rPr>
      </w:pPr>
      <w:r w:rsidRPr="00644D08">
        <w:rPr>
          <w:b w:val="0"/>
          <w:bCs/>
          <w:i/>
          <w:szCs w:val="24"/>
        </w:rPr>
        <w:t xml:space="preserve">(Тъй като беше постигнато споразумение между Парламента и Съвета, позицията на Парламента съответства на окончателния законодателен акт, </w:t>
      </w:r>
      <w:proofErr w:type="spellStart"/>
      <w:r w:rsidRPr="00644D08">
        <w:rPr>
          <w:b w:val="0"/>
          <w:bCs/>
          <w:i/>
          <w:szCs w:val="24"/>
          <w:lang w:val="lt-LT"/>
        </w:rPr>
        <w:t>Регламент</w:t>
      </w:r>
      <w:proofErr w:type="spellEnd"/>
      <w:r w:rsidRPr="00644D08">
        <w:rPr>
          <w:b w:val="0"/>
          <w:bCs/>
          <w:i/>
          <w:szCs w:val="24"/>
          <w:lang w:val="lt-LT"/>
        </w:rPr>
        <w:t xml:space="preserve"> (ЕС) 2026/687.)</w:t>
      </w:r>
    </w:p>
    <w:p w14:paraId="402C9E21" w14:textId="77777777" w:rsidR="00644D08" w:rsidRPr="00644D08" w:rsidRDefault="00644D08" w:rsidP="00644D08">
      <w:pPr>
        <w:pStyle w:val="AmNumberTabs"/>
        <w:rPr>
          <w:b w:val="0"/>
          <w:bCs/>
          <w:i/>
          <w:szCs w:val="24"/>
        </w:rPr>
      </w:pPr>
    </w:p>
    <w:p w14:paraId="7C17B32D" w14:textId="381A211E" w:rsidR="00644D08" w:rsidRPr="00644D08" w:rsidRDefault="00644D08" w:rsidP="00644D08">
      <w:pPr>
        <w:pStyle w:val="AmNumberTabs"/>
        <w:rPr>
          <w:rFonts w:eastAsia="Calibri"/>
          <w:szCs w:val="22"/>
          <w:lang w:eastAsia="en-US"/>
        </w:rPr>
        <w:sectPr w:rsidR="00644D08" w:rsidRPr="00644D08" w:rsidSect="008E79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B51756" w14:textId="7E06862A" w:rsidR="009A7A17" w:rsidRPr="009A7A17" w:rsidRDefault="009A7A17" w:rsidP="009A7A17">
      <w:pPr>
        <w:widowControl/>
        <w:spacing w:after="200" w:line="276" w:lineRule="auto"/>
        <w:jc w:val="right"/>
        <w:rPr>
          <w:rFonts w:eastAsia="Calibri"/>
          <w:szCs w:val="22"/>
          <w:lang w:eastAsia="en-US"/>
        </w:rPr>
      </w:pPr>
      <w:r w:rsidRPr="009A7A17">
        <w:rPr>
          <w:rFonts w:eastAsia="Calibri"/>
          <w:szCs w:val="22"/>
          <w:lang w:eastAsia="en-US"/>
        </w:rPr>
        <w:lastRenderedPageBreak/>
        <w:t>ПРИЛО</w:t>
      </w:r>
      <w:r>
        <w:rPr>
          <w:rFonts w:eastAsia="Calibri"/>
          <w:szCs w:val="22"/>
          <w:lang w:eastAsia="en-US"/>
        </w:rPr>
        <w:t>Ж</w:t>
      </w:r>
      <w:r w:rsidRPr="009A7A17">
        <w:rPr>
          <w:rFonts w:eastAsia="Calibri"/>
          <w:szCs w:val="22"/>
          <w:lang w:eastAsia="en-US"/>
        </w:rPr>
        <w:t>ЕНИЕ КЪМ ЗАКОНОДАТЕЛНАТА РЕЗОЛЮЦИЯ</w:t>
      </w:r>
    </w:p>
    <w:p w14:paraId="0E8D2732" w14:textId="4765AD13" w:rsidR="00BE41F4" w:rsidRPr="00BE41F4" w:rsidRDefault="00BE41F4" w:rsidP="00BE41F4">
      <w:pPr>
        <w:widowControl/>
        <w:spacing w:after="200" w:line="276" w:lineRule="auto"/>
        <w:rPr>
          <w:rFonts w:eastAsia="Calibri"/>
          <w:b/>
          <w:bCs/>
          <w:szCs w:val="22"/>
          <w:lang w:eastAsia="en-US"/>
        </w:rPr>
      </w:pPr>
      <w:r w:rsidRPr="00BE41F4">
        <w:rPr>
          <w:rFonts w:eastAsia="Calibri"/>
          <w:b/>
          <w:bCs/>
          <w:szCs w:val="22"/>
          <w:lang w:eastAsia="en-US"/>
        </w:rPr>
        <w:t>Изявление на Комисията относно производствените стандарти, прилагани за вносните селскостопански хранителни продукти и за санитарния и фитосанитарния контрол по повод приемането на Регламент (ЕС) 2026/</w:t>
      </w:r>
      <w:r w:rsidR="00644D08">
        <w:rPr>
          <w:rFonts w:eastAsia="Calibri"/>
          <w:b/>
          <w:bCs/>
          <w:szCs w:val="22"/>
          <w:lang w:eastAsia="en-US"/>
        </w:rPr>
        <w:t>687</w:t>
      </w:r>
      <w:r w:rsidR="00644D08">
        <w:rPr>
          <w:rStyle w:val="FootnoteReference"/>
          <w:rFonts w:eastAsia="Calibri"/>
          <w:b/>
          <w:bCs/>
          <w:szCs w:val="22"/>
          <w:lang w:eastAsia="en-US"/>
        </w:rPr>
        <w:footnoteReference w:id="2"/>
      </w:r>
    </w:p>
    <w:p w14:paraId="58257404" w14:textId="77777777" w:rsidR="00BE41F4" w:rsidRPr="00BE41F4" w:rsidRDefault="00BE41F4" w:rsidP="00BE41F4">
      <w:pPr>
        <w:widowControl/>
        <w:spacing w:after="200" w:line="276" w:lineRule="auto"/>
        <w:rPr>
          <w:rFonts w:eastAsia="Calibri"/>
          <w:szCs w:val="22"/>
          <w:lang w:eastAsia="en-US"/>
        </w:rPr>
      </w:pPr>
      <w:r w:rsidRPr="00BE41F4">
        <w:rPr>
          <w:rFonts w:eastAsia="Calibri"/>
          <w:szCs w:val="22"/>
          <w:lang w:eastAsia="en-US"/>
        </w:rPr>
        <w:t>Във Визията за селското стопанство и храните Комисията обяви плановете си да постигне по-добро съответствие в производствените стандарти, прилагани за вносните продукти, по-специално в областите на хуманното отношение към животните и на пестицидите.</w:t>
      </w:r>
    </w:p>
    <w:p w14:paraId="2FE0A8E7" w14:textId="77777777" w:rsidR="00BE41F4" w:rsidRPr="00BE41F4" w:rsidRDefault="00BE41F4" w:rsidP="00BE41F4">
      <w:pPr>
        <w:widowControl/>
        <w:spacing w:after="200" w:line="276" w:lineRule="auto"/>
        <w:rPr>
          <w:rFonts w:eastAsia="Calibri"/>
          <w:szCs w:val="22"/>
          <w:lang w:eastAsia="en-US"/>
        </w:rPr>
      </w:pPr>
      <w:r w:rsidRPr="00BE41F4">
        <w:rPr>
          <w:rFonts w:eastAsia="Calibri"/>
          <w:szCs w:val="22"/>
          <w:lang w:eastAsia="en-US"/>
        </w:rPr>
        <w:t>Що се отнася до пестицидите, Визията включва принципа, съгласно който най-опасните пестициди, забранени в ЕС по причини, свързани със здравето и околната среда, не следва да бъдат допускани чрез вносни продукти обратно в ЕС, като по този начин се цели да се избегне поставянето на европейските земеделски стопани и хранителна промишленост в неблагоприятно конкурентно положение, както и да се отговори на очакванията на потребителите. Като част от работата в тази посока на 25 ноември 2025 г. Комисията започна проучване с цел изготвяне на оценка на въздействието, в която ще бъдат разгледани последствията от този подход. В зависимост от резултатите и ако е целесъобразно, Комисията ще предложи изменения на съответната правна рамка. Очаква се предварителното проучване да приключи до лятото на 2026 г., след което ще се предприемат следващите стъпки от оценката на въздействието. Въпреки че с настоящото законодателство на ЕС вече се осигурява защита на потребителите и се гарантира, че всички храни, пуснати на пазара, отговарят на нашите високи стандарти в областта на здравето и безопасността, Комисията продължава да работи по ангажимента си производствените стандарти, прилагани за вносните продукти, да бъдат още по-добре приведени в съответствие, така че да се гарантират еднакви условия на конкуренция за нашите земеделски стопани и производители и да се поддържа защитата на потребителите.</w:t>
      </w:r>
    </w:p>
    <w:p w14:paraId="58BC6B86" w14:textId="77777777" w:rsidR="00BE41F4" w:rsidRPr="00BE41F4" w:rsidRDefault="00BE41F4" w:rsidP="00BE41F4">
      <w:pPr>
        <w:widowControl/>
        <w:spacing w:after="200" w:line="276" w:lineRule="auto"/>
        <w:rPr>
          <w:rFonts w:eastAsia="Calibri"/>
          <w:szCs w:val="22"/>
          <w:lang w:eastAsia="en-US"/>
        </w:rPr>
      </w:pPr>
      <w:r w:rsidRPr="00BE41F4">
        <w:rPr>
          <w:rFonts w:eastAsia="Calibri"/>
          <w:szCs w:val="22"/>
          <w:lang w:eastAsia="en-US"/>
        </w:rPr>
        <w:t>Междувременно в предложението от 16 декември 2025 г. относно пакета за опростяване във връзка с безопасността в областта на храните Комисията предложи да се измени настоящото законодателство по такъв начин, че да бъде посочено, че за вещества, които не са одобрени в Съюза и които имат определени особено опасни свойства, максимално допустимата граница на остатъчни вещества (МДГОВ) може да бъде определена на нула, ако след резултата от оценка на въздействието това бъде счетено за целесъобразно.</w:t>
      </w:r>
    </w:p>
    <w:p w14:paraId="4F75EA11" w14:textId="77777777" w:rsidR="00BE41F4" w:rsidRPr="00BE41F4" w:rsidRDefault="00BE41F4" w:rsidP="00BE41F4">
      <w:pPr>
        <w:widowControl/>
        <w:spacing w:after="200" w:line="276" w:lineRule="auto"/>
        <w:rPr>
          <w:rFonts w:eastAsia="Calibri"/>
          <w:szCs w:val="22"/>
          <w:lang w:eastAsia="en-US"/>
        </w:rPr>
      </w:pPr>
      <w:r w:rsidRPr="00BE41F4">
        <w:rPr>
          <w:rFonts w:eastAsia="Calibri"/>
          <w:szCs w:val="22"/>
          <w:lang w:eastAsia="en-US"/>
        </w:rPr>
        <w:t xml:space="preserve">Що се отнася до хуманното отношение към животните, на 17 декември 2025 г. Комисията приключи обществена консултация относно преразглеждането на законодателството на ЕС относно хуманното отношение към определени животни в стопанствата, която включваше въпроси дали и до каква степен към вноса на животни и животински продукти следва да се прилагат равностойни стандарти за хуманно </w:t>
      </w:r>
      <w:r w:rsidRPr="00BE41F4">
        <w:rPr>
          <w:rFonts w:eastAsia="Calibri"/>
          <w:szCs w:val="22"/>
          <w:lang w:eastAsia="en-US"/>
        </w:rPr>
        <w:lastRenderedPageBreak/>
        <w:t>отношение към животните. След оценката на въздействието Комисията ще пристъпи към изготвяне на съответните предложения.</w:t>
      </w:r>
    </w:p>
    <w:p w14:paraId="0D225D66" w14:textId="79A167B6" w:rsidR="00BE41F4" w:rsidRPr="005847C4" w:rsidRDefault="00BE41F4" w:rsidP="00BE41F4">
      <w:pPr>
        <w:widowControl/>
        <w:spacing w:after="200" w:line="276" w:lineRule="auto"/>
        <w:rPr>
          <w:rFonts w:eastAsia="Calibri"/>
          <w:szCs w:val="22"/>
          <w:lang w:eastAsia="en-US"/>
        </w:rPr>
      </w:pPr>
      <w:r w:rsidRPr="00BE41F4">
        <w:rPr>
          <w:rFonts w:eastAsia="Calibri"/>
          <w:szCs w:val="22"/>
          <w:lang w:eastAsia="en-US"/>
        </w:rPr>
        <w:t>Що се отнася до контрола върху вноса, на 9 декември 2025 г. Комисията обяви планове за засилване и подобряване на одитите, извършвани пряко на място във всички трети държави, включително по отношение на вноса на храни от държави от Меркосур. През следващите 2 години, считано от 1 януари 2026 г., Комисията ще увеличи с 50 % броя на одитите си, свързани с износа, в държави извън ЕС. Освен това Комисията ще засили мониторинга на стоки и държави, които не отговарят на изискванията, и ще адаптира честотата на проверките спрямо тях. Също така Комисията ще засили контрола в рамките на ЕС, а именно на основните контролно-пропускателни пунктове. Във връзка с това Комисията ще извършва по-голям брой проверки в държавите членки, за да се гарантира пълното съответствие на контрола по границите със стандартите на ЕС, като ще окаже подкрепа на държавите членки, за да бъдат извършени правилно тези проверки. Комисията ще създаде специална работна група на ЕС за повишаване на контрола върху вноса, която ще се съсредоточи по-специално върху остатъците от пестициди, безопасността в областта на храните и фуражите и хуманното отношение към животните и ще обмисли предприемането на координирани действия на равнището на ЕС за мониторинг на вносните продукти.</w:t>
      </w:r>
    </w:p>
    <w:p w14:paraId="121A9B03" w14:textId="77777777" w:rsidR="005847C4" w:rsidRPr="008E7943" w:rsidRDefault="005847C4" w:rsidP="00BE41F4">
      <w:pPr>
        <w:pStyle w:val="AmNumberTabs"/>
        <w:spacing w:line="360" w:lineRule="auto"/>
      </w:pPr>
    </w:p>
    <w:sectPr w:rsidR="005847C4" w:rsidRPr="008E7943" w:rsidSect="008E794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3FE3B" w14:textId="77777777" w:rsidR="00AB023C" w:rsidRPr="008E7943" w:rsidRDefault="00AB023C">
      <w:r w:rsidRPr="008E7943">
        <w:separator/>
      </w:r>
    </w:p>
  </w:endnote>
  <w:endnote w:type="continuationSeparator" w:id="0">
    <w:p w14:paraId="33EC7F20" w14:textId="77777777" w:rsidR="00AB023C" w:rsidRPr="008E7943" w:rsidRDefault="00AB023C">
      <w:r w:rsidRPr="008E79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1DAD" w14:textId="77777777" w:rsidR="00064002" w:rsidRPr="008E79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26F0" w14:textId="77777777" w:rsidR="00064002" w:rsidRPr="008E79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146A1" w14:textId="77777777" w:rsidR="00064002" w:rsidRPr="008E79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990EE" w14:textId="77777777" w:rsidR="00AB023C" w:rsidRPr="008E7943" w:rsidRDefault="00AB023C">
      <w:r w:rsidRPr="008E7943">
        <w:separator/>
      </w:r>
    </w:p>
  </w:footnote>
  <w:footnote w:type="continuationSeparator" w:id="0">
    <w:p w14:paraId="16A08F3D" w14:textId="77777777" w:rsidR="00AB023C" w:rsidRPr="008E7943" w:rsidRDefault="00AB023C">
      <w:r w:rsidRPr="008E7943">
        <w:continuationSeparator/>
      </w:r>
    </w:p>
  </w:footnote>
  <w:footnote w:id="1">
    <w:p w14:paraId="2955678E" w14:textId="077CF44B" w:rsidR="00625047" w:rsidRPr="00625047" w:rsidRDefault="00625047" w:rsidP="00625047">
      <w:pPr>
        <w:pStyle w:val="FootnoteText"/>
        <w:ind w:left="567" w:hanging="567"/>
        <w:rPr>
          <w:sz w:val="24"/>
          <w:szCs w:val="24"/>
          <w:lang w:val="bg-BG"/>
        </w:rPr>
      </w:pPr>
      <w:r w:rsidRPr="00625047">
        <w:rPr>
          <w:rStyle w:val="FootnoteReference"/>
          <w:sz w:val="24"/>
          <w:szCs w:val="24"/>
          <w:lang w:val="bg-BG"/>
        </w:rPr>
        <w:footnoteRef/>
      </w:r>
      <w:r w:rsidRPr="00625047">
        <w:rPr>
          <w:sz w:val="24"/>
          <w:szCs w:val="24"/>
          <w:lang w:val="bg-BG"/>
        </w:rPr>
        <w:t xml:space="preserve"> </w:t>
      </w:r>
      <w:r w:rsidRPr="00625047">
        <w:rPr>
          <w:sz w:val="24"/>
          <w:szCs w:val="24"/>
          <w:lang w:val="bg-BG"/>
        </w:rPr>
        <w:tab/>
        <w:t xml:space="preserve">Тази позиция заменя измененията, приети на </w:t>
      </w:r>
      <w:r>
        <w:rPr>
          <w:sz w:val="24"/>
          <w:szCs w:val="24"/>
          <w:lang w:val="bg-BG"/>
        </w:rPr>
        <w:t>16 декември</w:t>
      </w:r>
      <w:r w:rsidRPr="00625047">
        <w:rPr>
          <w:sz w:val="24"/>
          <w:szCs w:val="24"/>
          <w:lang w:val="bg-BG"/>
        </w:rPr>
        <w:t xml:space="preserve"> 202</w:t>
      </w:r>
      <w:r w:rsidR="001A04A6">
        <w:rPr>
          <w:sz w:val="24"/>
          <w:szCs w:val="24"/>
          <w:lang w:val="bg-BG"/>
        </w:rPr>
        <w:t>5</w:t>
      </w:r>
      <w:r w:rsidRPr="00625047">
        <w:rPr>
          <w:sz w:val="24"/>
          <w:szCs w:val="24"/>
          <w:lang w:val="bg-BG"/>
        </w:rPr>
        <w:t xml:space="preserve"> г. (Приети текстове, P10_TA(2025)0315).</w:t>
      </w:r>
    </w:p>
  </w:footnote>
  <w:footnote w:id="2">
    <w:p w14:paraId="22AD993B" w14:textId="6B3FF584" w:rsidR="00644D08" w:rsidRPr="00644D08" w:rsidRDefault="00644D08" w:rsidP="00644D08">
      <w:pPr>
        <w:pStyle w:val="FootnoteText"/>
        <w:ind w:left="567" w:hanging="567"/>
        <w:rPr>
          <w:sz w:val="24"/>
          <w:szCs w:val="24"/>
          <w:lang w:val="bg-BG"/>
        </w:rPr>
      </w:pPr>
      <w:r w:rsidRPr="00644D08">
        <w:rPr>
          <w:rStyle w:val="FootnoteReference"/>
          <w:sz w:val="24"/>
          <w:szCs w:val="24"/>
        </w:rPr>
        <w:footnoteRef/>
      </w:r>
      <w:r w:rsidRPr="00644D08">
        <w:rPr>
          <w:sz w:val="24"/>
          <w:szCs w:val="24"/>
        </w:rPr>
        <w:t xml:space="preserve"> </w:t>
      </w:r>
      <w:r w:rsidRPr="00644D08">
        <w:rPr>
          <w:sz w:val="24"/>
          <w:szCs w:val="24"/>
          <w:lang w:val="bg-BG"/>
        </w:rPr>
        <w:tab/>
      </w:r>
      <w:r w:rsidRPr="00644D08">
        <w:rPr>
          <w:sz w:val="24"/>
          <w:szCs w:val="24"/>
          <w:lang w:val="bg-BG"/>
        </w:rPr>
        <w:t xml:space="preserve">OВ L, 2026/687, 19.3.2026 г., ELI: </w:t>
      </w:r>
      <w:hyperlink r:id="rId1" w:history="1">
        <w:r w:rsidRPr="00644D08">
          <w:rPr>
            <w:rStyle w:val="Hyperlink"/>
            <w:szCs w:val="24"/>
            <w:lang w:val="bg-BG"/>
          </w:rPr>
          <w:t>http://data.europa.eu/eli/reg/2026/687/oj</w:t>
        </w:r>
      </w:hyperlink>
      <w:r w:rsidRPr="00644D08">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4CD6" w14:textId="77777777" w:rsidR="00064002" w:rsidRPr="008E79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1212B" w14:textId="77777777" w:rsidR="00064002" w:rsidRPr="008E79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1A664" w14:textId="77777777" w:rsidR="00064002" w:rsidRPr="008E79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1569073">
    <w:abstractNumId w:val="9"/>
  </w:num>
  <w:num w:numId="2" w16cid:durableId="1993409341">
    <w:abstractNumId w:val="9"/>
  </w:num>
  <w:num w:numId="3" w16cid:durableId="1506822801">
    <w:abstractNumId w:val="7"/>
  </w:num>
  <w:num w:numId="4" w16cid:durableId="1540974005">
    <w:abstractNumId w:val="7"/>
  </w:num>
  <w:num w:numId="5" w16cid:durableId="539586646">
    <w:abstractNumId w:val="6"/>
  </w:num>
  <w:num w:numId="6" w16cid:durableId="781608309">
    <w:abstractNumId w:val="6"/>
  </w:num>
  <w:num w:numId="7" w16cid:durableId="1310792743">
    <w:abstractNumId w:val="5"/>
  </w:num>
  <w:num w:numId="8" w16cid:durableId="1581669211">
    <w:abstractNumId w:val="5"/>
  </w:num>
  <w:num w:numId="9" w16cid:durableId="1741826343">
    <w:abstractNumId w:val="4"/>
  </w:num>
  <w:num w:numId="10" w16cid:durableId="368259203">
    <w:abstractNumId w:val="4"/>
  </w:num>
  <w:num w:numId="11" w16cid:durableId="941645230">
    <w:abstractNumId w:val="8"/>
  </w:num>
  <w:num w:numId="12" w16cid:durableId="1559902662">
    <w:abstractNumId w:val="8"/>
  </w:num>
  <w:num w:numId="13" w16cid:durableId="387917106">
    <w:abstractNumId w:val="3"/>
  </w:num>
  <w:num w:numId="14" w16cid:durableId="1717778853">
    <w:abstractNumId w:val="3"/>
  </w:num>
  <w:num w:numId="15" w16cid:durableId="906456461">
    <w:abstractNumId w:val="2"/>
  </w:num>
  <w:num w:numId="16" w16cid:durableId="1458841751">
    <w:abstractNumId w:val="2"/>
  </w:num>
  <w:num w:numId="17" w16cid:durableId="63265344">
    <w:abstractNumId w:val="1"/>
  </w:num>
  <w:num w:numId="18" w16cid:durableId="23217267">
    <w:abstractNumId w:val="1"/>
  </w:num>
  <w:num w:numId="19" w16cid:durableId="1320382305">
    <w:abstractNumId w:val="0"/>
  </w:num>
  <w:num w:numId="20" w16cid:durableId="353775955">
    <w:abstractNumId w:val="0"/>
  </w:num>
  <w:num w:numId="21" w16cid:durableId="156381197">
    <w:abstractNumId w:val="9"/>
  </w:num>
  <w:num w:numId="22" w16cid:durableId="395933012">
    <w:abstractNumId w:val="7"/>
  </w:num>
  <w:num w:numId="23" w16cid:durableId="1547331402">
    <w:abstractNumId w:val="6"/>
  </w:num>
  <w:num w:numId="24" w16cid:durableId="2091386114">
    <w:abstractNumId w:val="5"/>
  </w:num>
  <w:num w:numId="25" w16cid:durableId="1419593093">
    <w:abstractNumId w:val="4"/>
  </w:num>
  <w:num w:numId="26" w16cid:durableId="1565023761">
    <w:abstractNumId w:val="8"/>
  </w:num>
  <w:num w:numId="27" w16cid:durableId="401831147">
    <w:abstractNumId w:val="3"/>
  </w:num>
  <w:num w:numId="28" w16cid:durableId="440803978">
    <w:abstractNumId w:val="2"/>
  </w:num>
  <w:num w:numId="29" w16cid:durableId="660276592">
    <w:abstractNumId w:val="1"/>
  </w:num>
  <w:num w:numId="30" w16cid:durableId="304093537">
    <w:abstractNumId w:val="0"/>
  </w:num>
  <w:num w:numId="31" w16cid:durableId="233469578">
    <w:abstractNumId w:val="9"/>
  </w:num>
  <w:num w:numId="32" w16cid:durableId="756638724">
    <w:abstractNumId w:val="7"/>
  </w:num>
  <w:num w:numId="33" w16cid:durableId="1970360401">
    <w:abstractNumId w:val="6"/>
  </w:num>
  <w:num w:numId="34" w16cid:durableId="1773629385">
    <w:abstractNumId w:val="5"/>
  </w:num>
  <w:num w:numId="35" w16cid:durableId="2127696620">
    <w:abstractNumId w:val="4"/>
  </w:num>
  <w:num w:numId="36" w16cid:durableId="118378633">
    <w:abstractNumId w:val="8"/>
  </w:num>
  <w:num w:numId="37" w16cid:durableId="1603223979">
    <w:abstractNumId w:val="3"/>
  </w:num>
  <w:num w:numId="38" w16cid:durableId="1275939638">
    <w:abstractNumId w:val="2"/>
  </w:num>
  <w:num w:numId="39" w16cid:durableId="1916354573">
    <w:abstractNumId w:val="1"/>
  </w:num>
  <w:num w:numId="40" w16cid:durableId="1684939885">
    <w:abstractNumId w:val="0"/>
  </w:num>
  <w:num w:numId="41" w16cid:durableId="1911190362">
    <w:abstractNumId w:val="10"/>
  </w:num>
  <w:num w:numId="42" w16cid:durableId="829563993">
    <w:abstractNumId w:val="10"/>
  </w:num>
  <w:num w:numId="43" w16cid:durableId="535705092">
    <w:abstractNumId w:val="10"/>
  </w:num>
  <w:num w:numId="44" w16cid:durableId="861166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BG"/>
    <w:docVar w:name="dvnumam" w:val="24"/>
    <w:docVar w:name="dvpe" w:val="779.615"/>
    <w:docVar w:name="dvrapporteur" w:val="Докладчик: "/>
    <w:docVar w:name="dvstar" w:val="***I"/>
    <w:docVar w:name="dvtitre" w:val="Законодателна резолюция на Европейския парламент от ... 2026 г. относно предложението за регламент на Европейския парламент и на Съвета за прилагане на двустранната защитна клауза на Споразумението за партньорство ЕС—Меркосур и Временното споразумение за търговия ЕС—Меркосур по отношение на селскостопанските продукти(COM(2025)0639 – C10-0247/2025 – 2025/0322(COD))"/>
  </w:docVars>
  <w:rsids>
    <w:rsidRoot w:val="00AB023C"/>
    <w:rsid w:val="00002272"/>
    <w:rsid w:val="00064002"/>
    <w:rsid w:val="000677B9"/>
    <w:rsid w:val="000831BA"/>
    <w:rsid w:val="000A42CC"/>
    <w:rsid w:val="000E7DD9"/>
    <w:rsid w:val="0010095E"/>
    <w:rsid w:val="0012209E"/>
    <w:rsid w:val="0012465A"/>
    <w:rsid w:val="00125B37"/>
    <w:rsid w:val="001660BD"/>
    <w:rsid w:val="00187494"/>
    <w:rsid w:val="001A04A6"/>
    <w:rsid w:val="001F32AE"/>
    <w:rsid w:val="00241B9C"/>
    <w:rsid w:val="002767FF"/>
    <w:rsid w:val="002B18FE"/>
    <w:rsid w:val="002B5493"/>
    <w:rsid w:val="003140BA"/>
    <w:rsid w:val="00343214"/>
    <w:rsid w:val="00353EE7"/>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42C1"/>
    <w:rsid w:val="00545827"/>
    <w:rsid w:val="00560270"/>
    <w:rsid w:val="00583069"/>
    <w:rsid w:val="005847C4"/>
    <w:rsid w:val="005C2568"/>
    <w:rsid w:val="005F1B17"/>
    <w:rsid w:val="006037C0"/>
    <w:rsid w:val="00625047"/>
    <w:rsid w:val="00644D08"/>
    <w:rsid w:val="006631B6"/>
    <w:rsid w:val="00680577"/>
    <w:rsid w:val="006F109B"/>
    <w:rsid w:val="006F74FA"/>
    <w:rsid w:val="00731ADD"/>
    <w:rsid w:val="00734777"/>
    <w:rsid w:val="00747932"/>
    <w:rsid w:val="00751A4A"/>
    <w:rsid w:val="00756632"/>
    <w:rsid w:val="00762C74"/>
    <w:rsid w:val="00765B5D"/>
    <w:rsid w:val="00786EC0"/>
    <w:rsid w:val="007D1690"/>
    <w:rsid w:val="007E22AD"/>
    <w:rsid w:val="007F4360"/>
    <w:rsid w:val="00817416"/>
    <w:rsid w:val="00842779"/>
    <w:rsid w:val="00865F67"/>
    <w:rsid w:val="00881A7B"/>
    <w:rsid w:val="008840E5"/>
    <w:rsid w:val="00887B3E"/>
    <w:rsid w:val="008C2AC6"/>
    <w:rsid w:val="008E7943"/>
    <w:rsid w:val="00930C23"/>
    <w:rsid w:val="0093193B"/>
    <w:rsid w:val="009509D8"/>
    <w:rsid w:val="00950B64"/>
    <w:rsid w:val="00981893"/>
    <w:rsid w:val="009A7A17"/>
    <w:rsid w:val="009B639A"/>
    <w:rsid w:val="00A1687D"/>
    <w:rsid w:val="00A43E52"/>
    <w:rsid w:val="00A4678D"/>
    <w:rsid w:val="00A778C7"/>
    <w:rsid w:val="00A866F4"/>
    <w:rsid w:val="00AA222E"/>
    <w:rsid w:val="00AA6AD9"/>
    <w:rsid w:val="00AB023C"/>
    <w:rsid w:val="00AB441E"/>
    <w:rsid w:val="00AB6293"/>
    <w:rsid w:val="00AE0928"/>
    <w:rsid w:val="00AF3B82"/>
    <w:rsid w:val="00B12E95"/>
    <w:rsid w:val="00B22876"/>
    <w:rsid w:val="00B558F0"/>
    <w:rsid w:val="00BD48FE"/>
    <w:rsid w:val="00BD7BD8"/>
    <w:rsid w:val="00BE41F4"/>
    <w:rsid w:val="00BE6ADC"/>
    <w:rsid w:val="00C05BFE"/>
    <w:rsid w:val="00C23CD4"/>
    <w:rsid w:val="00C61C0C"/>
    <w:rsid w:val="00C941CB"/>
    <w:rsid w:val="00CC2357"/>
    <w:rsid w:val="00CF071A"/>
    <w:rsid w:val="00D058B8"/>
    <w:rsid w:val="00D45EB0"/>
    <w:rsid w:val="00D56C11"/>
    <w:rsid w:val="00D834A0"/>
    <w:rsid w:val="00D872DF"/>
    <w:rsid w:val="00D91E21"/>
    <w:rsid w:val="00DA7FCD"/>
    <w:rsid w:val="00DC2DE7"/>
    <w:rsid w:val="00E365E1"/>
    <w:rsid w:val="00E820A4"/>
    <w:rsid w:val="00EB006A"/>
    <w:rsid w:val="00EB4772"/>
    <w:rsid w:val="00ED169E"/>
    <w:rsid w:val="00ED4235"/>
    <w:rsid w:val="00F04346"/>
    <w:rsid w:val="00F075DC"/>
    <w:rsid w:val="00F149E9"/>
    <w:rsid w:val="00F3720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90E33"/>
  <w15:chartTrackingRefBased/>
  <w15:docId w15:val="{51BF3A62-3360-4F22-8758-B66163CB5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AA222E"/>
    <w:pPr>
      <w:spacing w:after="120"/>
    </w:pPr>
  </w:style>
  <w:style w:type="paragraph" w:customStyle="1" w:styleId="NormalBold">
    <w:name w:val="NormalBold"/>
    <w:basedOn w:val="Normal"/>
    <w:link w:val="NormalBoldChar"/>
    <w:rsid w:val="00AA222E"/>
    <w:rPr>
      <w:b/>
    </w:rPr>
  </w:style>
  <w:style w:type="paragraph" w:customStyle="1" w:styleId="NormalHanging12a">
    <w:name w:val="NormalHanging12a"/>
    <w:basedOn w:val="Normal"/>
    <w:rsid w:val="00AA222E"/>
    <w:pPr>
      <w:spacing w:after="240"/>
      <w:ind w:left="567" w:hanging="567"/>
    </w:pPr>
  </w:style>
  <w:style w:type="paragraph" w:customStyle="1" w:styleId="AmColumnHeading">
    <w:name w:val="AmColumnHeading"/>
    <w:basedOn w:val="Normal"/>
    <w:rsid w:val="00AA222E"/>
    <w:pPr>
      <w:spacing w:after="240"/>
      <w:jc w:val="center"/>
    </w:pPr>
    <w:rPr>
      <w:i/>
    </w:rPr>
  </w:style>
  <w:style w:type="paragraph" w:customStyle="1" w:styleId="AmNumberTabs">
    <w:name w:val="AmNumberTabs"/>
    <w:basedOn w:val="Normal"/>
    <w:rsid w:val="00AA22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A222E"/>
    <w:pPr>
      <w:spacing w:before="240"/>
    </w:pPr>
    <w:rPr>
      <w:b/>
    </w:rPr>
  </w:style>
  <w:style w:type="paragraph" w:customStyle="1" w:styleId="EPComma">
    <w:name w:val="EPComma"/>
    <w:basedOn w:val="Normal"/>
    <w:rsid w:val="00AA222E"/>
    <w:pPr>
      <w:spacing w:before="480" w:after="240"/>
    </w:pPr>
  </w:style>
  <w:style w:type="character" w:customStyle="1" w:styleId="NormalBoldChar">
    <w:name w:val="NormalBold Char"/>
    <w:basedOn w:val="DefaultParagraphFont"/>
    <w:link w:val="NormalBold"/>
    <w:locked/>
    <w:rsid w:val="00AA222E"/>
    <w:rPr>
      <w:b/>
      <w:sz w:val="24"/>
      <w:lang w:val="bg-BG"/>
    </w:rPr>
  </w:style>
  <w:style w:type="paragraph" w:styleId="Revision">
    <w:name w:val="Revision"/>
    <w:hidden/>
    <w:uiPriority w:val="99"/>
    <w:semiHidden/>
    <w:rsid w:val="007F4360"/>
    <w:rPr>
      <w:sz w:val="24"/>
      <w:lang w:val="bg-BG"/>
    </w:rPr>
  </w:style>
  <w:style w:type="character" w:styleId="Hyperlink">
    <w:name w:val="Hyperlink"/>
    <w:uiPriority w:val="99"/>
    <w:rsid w:val="005847C4"/>
    <w:rPr>
      <w:rFonts w:ascii="Times New Roman" w:hAnsi="Times New Roman"/>
      <w:color w:val="0000FF"/>
      <w:sz w:val="24"/>
      <w:u w:val="single"/>
    </w:rPr>
  </w:style>
  <w:style w:type="paragraph" w:styleId="EndnoteText">
    <w:name w:val="endnote text"/>
    <w:basedOn w:val="Normal"/>
    <w:link w:val="EndnoteTextChar"/>
    <w:rsid w:val="00625047"/>
    <w:rPr>
      <w:sz w:val="20"/>
    </w:rPr>
  </w:style>
  <w:style w:type="character" w:customStyle="1" w:styleId="EndnoteTextChar">
    <w:name w:val="Endnote Text Char"/>
    <w:basedOn w:val="DefaultParagraphFont"/>
    <w:link w:val="EndnoteText"/>
    <w:rsid w:val="00625047"/>
    <w:rPr>
      <w:lang w:val="bg-BG"/>
    </w:rPr>
  </w:style>
  <w:style w:type="character" w:styleId="EndnoteReference">
    <w:name w:val="endnote reference"/>
    <w:basedOn w:val="DefaultParagraphFont"/>
    <w:rsid w:val="00625047"/>
    <w:rPr>
      <w:vertAlign w:val="superscript"/>
    </w:rPr>
  </w:style>
  <w:style w:type="character" w:styleId="FollowedHyperlink">
    <w:name w:val="FollowedHyperlink"/>
    <w:basedOn w:val="DefaultParagraphFont"/>
    <w:rsid w:val="00583069"/>
    <w:rPr>
      <w:color w:val="954F72" w:themeColor="followedHyperlink"/>
      <w:u w:val="single"/>
    </w:rPr>
  </w:style>
  <w:style w:type="character" w:styleId="UnresolvedMention">
    <w:name w:val="Unresolved Mention"/>
    <w:basedOn w:val="DefaultParagraphFont"/>
    <w:uiPriority w:val="99"/>
    <w:semiHidden/>
    <w:unhideWhenUsed/>
    <w:rsid w:val="00644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2026-04-14T13:04:00Z</dcterms:created>
  <dcterms:modified xsi:type="dcterms:W3CDTF">2026-04-14T13:04:00Z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P10_TA(2026)0030_</vt:lpwstr>
  </property>
  <property fmtid="{D5CDD505-2E9C-101B-9397-08002B2CF9AE}" pid="4" name="&lt;Type&gt;">
    <vt:lpwstr>RR</vt:lpwstr>
  </property>
</Properties>
</file>