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7063" w14:paraId="3C7432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F00F69" w14:textId="77777777" w:rsidR="00751A4A" w:rsidRPr="00C77063" w:rsidRDefault="000A7615" w:rsidP="0010095E">
            <w:pPr>
              <w:pStyle w:val="EPName"/>
            </w:pPr>
            <w:r w:rsidRPr="00C77063">
              <w:t>Evropský parlament</w:t>
            </w:r>
          </w:p>
          <w:p w14:paraId="228C2CF4" w14:textId="77777777" w:rsidR="00751A4A" w:rsidRPr="00C770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7063">
              <w:t>2024</w:t>
            </w:r>
            <w:r w:rsidR="00817416" w:rsidRPr="00C77063">
              <w:t>-202</w:t>
            </w:r>
            <w:r w:rsidRPr="00C77063">
              <w:t>9</w:t>
            </w:r>
          </w:p>
        </w:tc>
        <w:tc>
          <w:tcPr>
            <w:tcW w:w="2268" w:type="dxa"/>
            <w:shd w:val="clear" w:color="auto" w:fill="auto"/>
          </w:tcPr>
          <w:p w14:paraId="76A53F24" w14:textId="77777777" w:rsidR="00751A4A" w:rsidRPr="00C77063" w:rsidRDefault="00187494" w:rsidP="0010095E">
            <w:pPr>
              <w:pStyle w:val="EPLogo"/>
            </w:pPr>
            <w:r w:rsidRPr="00C77063">
              <w:rPr>
                <w:noProof/>
                <w:lang w:eastAsia="ja-JP"/>
              </w:rPr>
              <w:drawing>
                <wp:inline distT="0" distB="0" distL="0" distR="0" wp14:anchorId="51DD5F4F" wp14:editId="349E2E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B8A9ED" w14:textId="77777777" w:rsidR="00D058B8" w:rsidRPr="00C77063" w:rsidRDefault="00D058B8" w:rsidP="004C5D52">
      <w:pPr>
        <w:pStyle w:val="LineTop"/>
      </w:pPr>
    </w:p>
    <w:p w14:paraId="575BB96B" w14:textId="77777777" w:rsidR="00680577" w:rsidRPr="00C77063" w:rsidRDefault="000A7615" w:rsidP="00680577">
      <w:pPr>
        <w:pStyle w:val="EPBodyTA1"/>
      </w:pPr>
      <w:r w:rsidRPr="00C77063">
        <w:t>PŘIJATÉ TEXTY</w:t>
      </w:r>
    </w:p>
    <w:p w14:paraId="74E53348" w14:textId="77777777" w:rsidR="00D058B8" w:rsidRPr="00C77063" w:rsidRDefault="00D058B8" w:rsidP="00D058B8">
      <w:pPr>
        <w:pStyle w:val="LineBottom"/>
      </w:pPr>
    </w:p>
    <w:p w14:paraId="17ED4333" w14:textId="3396934F" w:rsidR="000A7615" w:rsidRPr="00C77063" w:rsidRDefault="000A7615" w:rsidP="000A7615">
      <w:pPr>
        <w:pStyle w:val="ATHeading1"/>
      </w:pPr>
      <w:bookmarkStart w:id="0" w:name="TANumber"/>
      <w:r w:rsidRPr="00C77063">
        <w:t>P10_</w:t>
      </w:r>
      <w:proofErr w:type="gramStart"/>
      <w:r w:rsidRPr="00C77063">
        <w:t>TA(</w:t>
      </w:r>
      <w:proofErr w:type="gramEnd"/>
      <w:r w:rsidRPr="00C77063">
        <w:t>2026)00</w:t>
      </w:r>
      <w:r w:rsidR="006F27FE">
        <w:t>30</w:t>
      </w:r>
      <w:bookmarkEnd w:id="0"/>
    </w:p>
    <w:p w14:paraId="0437C0B1" w14:textId="77777777" w:rsidR="000A7615" w:rsidRPr="00C77063" w:rsidRDefault="000A7615" w:rsidP="000A7615">
      <w:pPr>
        <w:pStyle w:val="ATHeading2"/>
      </w:pPr>
      <w:bookmarkStart w:id="1" w:name="title"/>
      <w:r w:rsidRPr="00C77063">
        <w:t xml:space="preserve">Dvoustranná ochranná doložka dohody o partnerství mezi EU a </w:t>
      </w:r>
      <w:proofErr w:type="spellStart"/>
      <w:r w:rsidRPr="00C77063">
        <w:t>Mercosurem</w:t>
      </w:r>
      <w:proofErr w:type="spellEnd"/>
      <w:r w:rsidRPr="00C77063">
        <w:t xml:space="preserve"> a prozatímní dohody o obchodu mezi EU a </w:t>
      </w:r>
      <w:proofErr w:type="spellStart"/>
      <w:r w:rsidRPr="00C77063">
        <w:t>Mercosurem</w:t>
      </w:r>
      <w:proofErr w:type="spellEnd"/>
      <w:r w:rsidRPr="00C77063">
        <w:t>, pokud jde o zemědělské produkty</w:t>
      </w:r>
      <w:bookmarkEnd w:id="1"/>
    </w:p>
    <w:p w14:paraId="69E7EC83" w14:textId="77777777" w:rsidR="000A7615" w:rsidRPr="00C77063" w:rsidRDefault="000A7615" w:rsidP="000A7615">
      <w:pPr>
        <w:rPr>
          <w:i/>
          <w:vanish/>
        </w:rPr>
      </w:pPr>
      <w:r w:rsidRPr="00C77063">
        <w:rPr>
          <w:i/>
        </w:rPr>
        <w:fldChar w:fldCharType="begin"/>
      </w:r>
      <w:r w:rsidRPr="00C77063">
        <w:rPr>
          <w:i/>
        </w:rPr>
        <w:instrText xml:space="preserve"> TC"(</w:instrText>
      </w:r>
      <w:bookmarkStart w:id="2" w:name="DocNumber"/>
      <w:r w:rsidRPr="00C77063">
        <w:rPr>
          <w:i/>
        </w:rPr>
        <w:instrText>A10-0254/2025</w:instrText>
      </w:r>
      <w:bookmarkEnd w:id="2"/>
      <w:r w:rsidRPr="00C77063">
        <w:rPr>
          <w:i/>
        </w:rPr>
        <w:instrText xml:space="preserve"> - Zpravodaj: Gabriel Mato)"\l3 \n&gt; \* MERGEFORMAT </w:instrText>
      </w:r>
      <w:r w:rsidRPr="00C77063">
        <w:rPr>
          <w:i/>
        </w:rPr>
        <w:fldChar w:fldCharType="end"/>
      </w:r>
    </w:p>
    <w:p w14:paraId="01694FDC" w14:textId="77777777" w:rsidR="000A7615" w:rsidRPr="00C77063" w:rsidRDefault="000A7615" w:rsidP="000A7615">
      <w:pPr>
        <w:rPr>
          <w:vanish/>
        </w:rPr>
      </w:pPr>
      <w:bookmarkStart w:id="3" w:name="Commission"/>
      <w:r w:rsidRPr="00C77063">
        <w:rPr>
          <w:vanish/>
        </w:rPr>
        <w:t>Výbor pro mezinárodní obchod</w:t>
      </w:r>
      <w:bookmarkEnd w:id="3"/>
    </w:p>
    <w:p w14:paraId="40295E79" w14:textId="77777777" w:rsidR="000A7615" w:rsidRPr="00C77063" w:rsidRDefault="000A7615" w:rsidP="000A7615">
      <w:pPr>
        <w:rPr>
          <w:vanish/>
        </w:rPr>
      </w:pPr>
      <w:bookmarkStart w:id="4" w:name="PE"/>
      <w:r w:rsidRPr="00C77063">
        <w:rPr>
          <w:vanish/>
        </w:rPr>
        <w:t>PE779.615</w:t>
      </w:r>
      <w:bookmarkEnd w:id="4"/>
    </w:p>
    <w:p w14:paraId="0E1A209A" w14:textId="496F5E8B" w:rsidR="000A7615" w:rsidRPr="00C77063" w:rsidRDefault="000A7615" w:rsidP="000A7615">
      <w:pPr>
        <w:pStyle w:val="ATHeading3"/>
      </w:pPr>
      <w:bookmarkStart w:id="5" w:name="Sujet"/>
      <w:r w:rsidRPr="00C77063">
        <w:t xml:space="preserve">Legislativní usnesení Evropského parlamentu ze dne </w:t>
      </w:r>
      <w:r w:rsidR="00DA43D5">
        <w:t>10</w:t>
      </w:r>
      <w:r w:rsidR="00705954">
        <w:t>. února</w:t>
      </w:r>
      <w:r w:rsidRPr="00C77063">
        <w:t xml:space="preserve"> </w:t>
      </w:r>
      <w:r w:rsidR="0052680C">
        <w:t xml:space="preserve">2026 </w:t>
      </w:r>
      <w:r w:rsidRPr="00C77063">
        <w:t>o návrhu nařízení Evropského parlamentu a Rady, kterým se provádí dvoustranná ochranná doložka dohody o partnerství mezi EU a </w:t>
      </w:r>
      <w:proofErr w:type="spellStart"/>
      <w:r w:rsidRPr="00C77063">
        <w:t>Mercosurem</w:t>
      </w:r>
      <w:proofErr w:type="spellEnd"/>
      <w:r w:rsidRPr="00C77063">
        <w:t xml:space="preserve"> a prozatímní dohody o obchodu mezi EU a </w:t>
      </w:r>
      <w:proofErr w:type="spellStart"/>
      <w:r w:rsidRPr="00C77063">
        <w:t>Mercosurem</w:t>
      </w:r>
      <w:proofErr w:type="spellEnd"/>
      <w:r w:rsidRPr="00C77063">
        <w:t>, pokud jde o zemědělské produkty</w:t>
      </w:r>
      <w:bookmarkEnd w:id="5"/>
      <w:r w:rsidRPr="00C77063">
        <w:t xml:space="preserve"> </w:t>
      </w:r>
      <w:bookmarkStart w:id="6" w:name="References"/>
      <w:r w:rsidRPr="00C77063">
        <w:t>(</w:t>
      </w:r>
      <w:proofErr w:type="gramStart"/>
      <w:r w:rsidRPr="00C77063">
        <w:t>COM(</w:t>
      </w:r>
      <w:proofErr w:type="gramEnd"/>
      <w:r w:rsidRPr="00C77063">
        <w:t>2025)0639 – C10-0247/2025 – 2025/0322(COD))</w:t>
      </w:r>
      <w:bookmarkEnd w:id="6"/>
    </w:p>
    <w:p w14:paraId="76D80E22" w14:textId="77777777" w:rsidR="006C1187" w:rsidRPr="00C77063" w:rsidRDefault="006C1187" w:rsidP="006C1187">
      <w:pPr>
        <w:pStyle w:val="NormalBold"/>
      </w:pPr>
      <w:r w:rsidRPr="00C77063">
        <w:t>(Řádný legislativní postup: první čtení)</w:t>
      </w:r>
    </w:p>
    <w:p w14:paraId="59A33525" w14:textId="77777777" w:rsidR="006C1187" w:rsidRPr="00C77063" w:rsidRDefault="006C1187" w:rsidP="006C1187">
      <w:pPr>
        <w:pStyle w:val="EPComma"/>
        <w:spacing w:before="240"/>
      </w:pPr>
      <w:r w:rsidRPr="00C77063">
        <w:rPr>
          <w:i/>
        </w:rPr>
        <w:t>Evropský parlament</w:t>
      </w:r>
      <w:r w:rsidRPr="00C77063">
        <w:t>,</w:t>
      </w:r>
    </w:p>
    <w:p w14:paraId="653AC3F3" w14:textId="77777777" w:rsidR="006C1187" w:rsidRPr="00C77063" w:rsidRDefault="006C1187" w:rsidP="006C1187">
      <w:pPr>
        <w:pStyle w:val="NormalHanging12a"/>
      </w:pPr>
      <w:r w:rsidRPr="00C77063">
        <w:t>–</w:t>
      </w:r>
      <w:r w:rsidRPr="00C77063">
        <w:tab/>
        <w:t>s ohledem na návrh Komise předložený Evropskému parlamentu a Radě (</w:t>
      </w:r>
      <w:proofErr w:type="gramStart"/>
      <w:r w:rsidRPr="00C77063">
        <w:t>COM(</w:t>
      </w:r>
      <w:proofErr w:type="gramEnd"/>
      <w:r w:rsidRPr="00C77063">
        <w:t>2025)0639),</w:t>
      </w:r>
    </w:p>
    <w:p w14:paraId="1A7C369E" w14:textId="1350AD61" w:rsidR="006C1187" w:rsidRPr="00C77063" w:rsidRDefault="006C1187" w:rsidP="006C1187">
      <w:pPr>
        <w:pStyle w:val="NormalHanging12a"/>
      </w:pPr>
      <w:r w:rsidRPr="00C77063">
        <w:t>–</w:t>
      </w:r>
      <w:r w:rsidRPr="00C77063">
        <w:tab/>
        <w:t>s ohledem na čl. 294 odst. 2 a čl. 207 odst. 2 Smlouvy o fungování Evropské unie, v </w:t>
      </w:r>
      <w:proofErr w:type="gramStart"/>
      <w:r w:rsidRPr="00C77063">
        <w:t>souladu</w:t>
      </w:r>
      <w:proofErr w:type="gramEnd"/>
      <w:r w:rsidRPr="00C77063">
        <w:t xml:space="preserve"> </w:t>
      </w:r>
      <w:r w:rsidR="00705954">
        <w:t>se kterými</w:t>
      </w:r>
      <w:r w:rsidRPr="00C77063">
        <w:t xml:space="preserve"> Komise předložila svůj návrh Parlamentu (C10</w:t>
      </w:r>
      <w:r w:rsidRPr="00C77063">
        <w:noBreakHyphen/>
        <w:t>0247/2025),</w:t>
      </w:r>
    </w:p>
    <w:p w14:paraId="2A48101C" w14:textId="77777777" w:rsidR="006C1187" w:rsidRDefault="006C1187" w:rsidP="006C1187">
      <w:pPr>
        <w:pStyle w:val="NormalHanging12a"/>
      </w:pPr>
      <w:r w:rsidRPr="00C77063">
        <w:t>–</w:t>
      </w:r>
      <w:r w:rsidRPr="00C77063">
        <w:tab/>
        <w:t>s ohledem na čl. 294 odst. 3 Smlouvy o fungování Evropské unie,</w:t>
      </w:r>
    </w:p>
    <w:p w14:paraId="4C31963F" w14:textId="0C7D6536" w:rsidR="00DA43D5" w:rsidRPr="00C77063" w:rsidRDefault="00DA43D5" w:rsidP="006C1187">
      <w:pPr>
        <w:pStyle w:val="NormalHanging12a"/>
      </w:pPr>
      <w:r w:rsidRPr="00DA43D5">
        <w:t>–</w:t>
      </w:r>
      <w:r w:rsidRPr="00DA43D5">
        <w:tab/>
        <w:t xml:space="preserve">s ohledem na předběžnou dohodu přijatou příslušným výborem podle čl. 75 odst. 4 jednacího řádu a s ohledem na to, že se zástupce Rady dopisem ze dne </w:t>
      </w:r>
      <w:r>
        <w:t>9</w:t>
      </w:r>
      <w:r w:rsidRPr="00DA43D5">
        <w:t xml:space="preserve">. </w:t>
      </w:r>
      <w:r>
        <w:t>ledna</w:t>
      </w:r>
      <w:r w:rsidRPr="00DA43D5">
        <w:t xml:space="preserve"> 202</w:t>
      </w:r>
      <w:r>
        <w:t>6</w:t>
      </w:r>
      <w:r w:rsidRPr="00DA43D5">
        <w:t xml:space="preserve"> zavázal schválit postoj Parlamentu v souladu s čl. 294 odst. 4 Smlouvy o fungování Evropské unie,</w:t>
      </w:r>
    </w:p>
    <w:p w14:paraId="299ECB4E" w14:textId="77777777" w:rsidR="006C1187" w:rsidRPr="00C77063" w:rsidRDefault="006C1187" w:rsidP="006C1187">
      <w:pPr>
        <w:pStyle w:val="NormalHanging12a"/>
      </w:pPr>
      <w:r w:rsidRPr="00C77063">
        <w:t>–</w:t>
      </w:r>
      <w:r w:rsidRPr="00C77063">
        <w:tab/>
        <w:t>s ohledem na článek 60 jednacího řádu,</w:t>
      </w:r>
    </w:p>
    <w:p w14:paraId="4BEA2D9A" w14:textId="77777777" w:rsidR="006C1187" w:rsidRPr="00C77063" w:rsidRDefault="006C1187" w:rsidP="006C1187">
      <w:pPr>
        <w:pStyle w:val="NormalHanging12a"/>
      </w:pPr>
      <w:r w:rsidRPr="00C77063">
        <w:t>–</w:t>
      </w:r>
      <w:r w:rsidRPr="00C77063">
        <w:tab/>
        <w:t>s ohledem na zprávu Výboru pro mezinárodní obchod (A10</w:t>
      </w:r>
      <w:r w:rsidRPr="00C77063">
        <w:noBreakHyphen/>
        <w:t>0254/2025),</w:t>
      </w:r>
    </w:p>
    <w:p w14:paraId="71E4449C" w14:textId="08F40DBB" w:rsidR="006C1187" w:rsidRDefault="006C1187" w:rsidP="006C1187">
      <w:pPr>
        <w:pStyle w:val="NormalHanging12a"/>
      </w:pPr>
      <w:r w:rsidRPr="00C77063">
        <w:t>1.</w:t>
      </w:r>
      <w:r w:rsidRPr="00C77063">
        <w:tab/>
        <w:t>přijímá níže uvedený postoj v prvním čtení</w:t>
      </w:r>
      <w:r w:rsidR="00DA43D5">
        <w:rPr>
          <w:rStyle w:val="FootnoteReference"/>
        </w:rPr>
        <w:footnoteReference w:id="1"/>
      </w:r>
      <w:r w:rsidRPr="00C77063">
        <w:t>;</w:t>
      </w:r>
    </w:p>
    <w:p w14:paraId="0028E1AE" w14:textId="0DAD3EBF" w:rsidR="00DA43D5" w:rsidRPr="00C77063" w:rsidRDefault="00DA43D5" w:rsidP="006C1187">
      <w:pPr>
        <w:pStyle w:val="NormalHanging12a"/>
      </w:pPr>
      <w:r>
        <w:t>2</w:t>
      </w:r>
      <w:r w:rsidRPr="00DA43D5">
        <w:t>.</w:t>
      </w:r>
      <w:r w:rsidRPr="00DA43D5">
        <w:tab/>
        <w:t xml:space="preserve">bere na vědomí prohlášení Komise, které je přílohou tohoto usnesení a bude zveřejněno </w:t>
      </w:r>
      <w:r w:rsidRPr="00DA43D5">
        <w:lastRenderedPageBreak/>
        <w:t xml:space="preserve">v řadě C </w:t>
      </w:r>
      <w:r w:rsidRPr="00CA04F6">
        <w:rPr>
          <w:i/>
          <w:iCs/>
        </w:rPr>
        <w:t>Úředního věstníku Evropské unie</w:t>
      </w:r>
      <w:r w:rsidRPr="00DA43D5">
        <w:t>;</w:t>
      </w:r>
    </w:p>
    <w:p w14:paraId="5D290271" w14:textId="1246A3DF" w:rsidR="006C1187" w:rsidRPr="00C77063" w:rsidRDefault="00DA43D5" w:rsidP="006C1187">
      <w:pPr>
        <w:pStyle w:val="NormalHanging12a"/>
      </w:pPr>
      <w:r>
        <w:t>3</w:t>
      </w:r>
      <w:r w:rsidR="006C1187" w:rsidRPr="00C77063">
        <w:t>.</w:t>
      </w:r>
      <w:r w:rsidR="006C1187" w:rsidRPr="00C77063">
        <w:tab/>
        <w:t>vyzývá Komisi, aby věc znovu postoupila Parlamentu, jestliže svůj návrh nahradí jiným textem, podstatně jej změní nebo má v úmyslu jej podstatně změnit;</w:t>
      </w:r>
    </w:p>
    <w:p w14:paraId="094F86F1" w14:textId="715D9FDA" w:rsidR="006C1187" w:rsidRPr="00C77063" w:rsidRDefault="00DA43D5" w:rsidP="006C1187">
      <w:pPr>
        <w:pStyle w:val="NormalHanging12a"/>
      </w:pPr>
      <w:r>
        <w:t>4</w:t>
      </w:r>
      <w:r w:rsidR="006C1187" w:rsidRPr="00C77063">
        <w:t>.</w:t>
      </w:r>
      <w:r w:rsidR="006C1187" w:rsidRPr="00C77063">
        <w:tab/>
        <w:t>pověřuje svou předsedkyni, aby předala postoj Parlamentu Radě</w:t>
      </w:r>
      <w:r w:rsidR="000A7171">
        <w:t xml:space="preserve"> a </w:t>
      </w:r>
      <w:r w:rsidR="006C1187" w:rsidRPr="00C77063">
        <w:t>Komisi, jakož i vnitrostátním parlamentům.</w:t>
      </w:r>
    </w:p>
    <w:p w14:paraId="44C4D0D4" w14:textId="77777777" w:rsidR="00DA43D5" w:rsidRDefault="00DA43D5" w:rsidP="006C1187">
      <w:pPr>
        <w:widowControl/>
        <w:sectPr w:rsidR="00DA43D5" w:rsidSect="00C7706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003545" w14:textId="77777777" w:rsidR="00DA43D5" w:rsidRDefault="00DA43D5" w:rsidP="00DA43D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DQC_RangeToBeChecked"/>
      <w:r w:rsidRPr="00D775EE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D775EE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D775EE">
        <w:rPr>
          <w:rFonts w:eastAsia="Calibri"/>
          <w:b/>
          <w:bCs/>
          <w:color w:val="000000"/>
          <w:szCs w:val="24"/>
        </w:rPr>
        <w:t>2025)0322</w:t>
      </w:r>
    </w:p>
    <w:p w14:paraId="4242A8EE" w14:textId="2D4B6542" w:rsidR="00DA43D5" w:rsidRPr="00DA43D5" w:rsidRDefault="00DA43D5" w:rsidP="00DA43D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t xml:space="preserve">Postoj Evropského parlamentu přijatý v prvním čtení dne 10. února 2026 k přijetí nařízení Evropského parlamentu a Rady (EU) 2026/..., </w:t>
      </w:r>
      <w:r w:rsidRPr="00DA43D5">
        <w:rPr>
          <w:b/>
          <w:bCs/>
        </w:rPr>
        <w:t>kterým se provádí dvoustranné ochranné doložky dohody o partnerství mezi EU a </w:t>
      </w:r>
      <w:proofErr w:type="spellStart"/>
      <w:r w:rsidRPr="00DA43D5">
        <w:rPr>
          <w:b/>
          <w:bCs/>
        </w:rPr>
        <w:t>Mercosurem</w:t>
      </w:r>
      <w:proofErr w:type="spellEnd"/>
      <w:r w:rsidRPr="00DA43D5">
        <w:rPr>
          <w:b/>
          <w:bCs/>
        </w:rPr>
        <w:t xml:space="preserve"> a prozatímní dohody o obchodu mezi EU a </w:t>
      </w:r>
      <w:proofErr w:type="spellStart"/>
      <w:r w:rsidRPr="00DA43D5">
        <w:rPr>
          <w:b/>
          <w:bCs/>
        </w:rPr>
        <w:t>Mercosurem</w:t>
      </w:r>
      <w:proofErr w:type="spellEnd"/>
      <w:r w:rsidRPr="00DA43D5">
        <w:rPr>
          <w:b/>
          <w:bCs/>
        </w:rPr>
        <w:t>, pokud jde o zemědělské produkty</w:t>
      </w:r>
    </w:p>
    <w:p w14:paraId="7936F4D6" w14:textId="77777777" w:rsidR="00E23C64" w:rsidRDefault="00E23C64" w:rsidP="00EF3000"/>
    <w:p w14:paraId="4C5BB93E" w14:textId="2390C284" w:rsidR="00CF374C" w:rsidRDefault="00CF374C" w:rsidP="00CF374C">
      <w:pPr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6</w:t>
      </w:r>
      <w:r>
        <w:rPr>
          <w:i/>
        </w:rPr>
        <w:t>87</w:t>
      </w:r>
      <w:r>
        <w:rPr>
          <w:i/>
        </w:rPr>
        <w:t>.)</w:t>
      </w:r>
    </w:p>
    <w:p w14:paraId="199D11DE" w14:textId="77777777" w:rsidR="00CF374C" w:rsidRDefault="00CF374C" w:rsidP="00EF3000">
      <w:pPr>
        <w:sectPr w:rsidR="00CF374C" w:rsidSect="00DA43D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footnotePr>
            <w:numRestart w:val="eachSect"/>
          </w:footnotePr>
          <w:endnotePr>
            <w:numFmt w:val="decimal"/>
          </w:endnotePr>
          <w:pgSz w:w="11907" w:h="16840" w:code="9"/>
          <w:pgMar w:top="1134" w:right="1134" w:bottom="1134" w:left="1134" w:header="567" w:footer="567" w:gutter="0"/>
          <w:cols w:space="720"/>
          <w:docGrid w:linePitch="326"/>
        </w:sectPr>
      </w:pPr>
    </w:p>
    <w:p w14:paraId="51C57344" w14:textId="466BB243" w:rsidR="00DA43D5" w:rsidRPr="00C97949" w:rsidRDefault="00E23C64" w:rsidP="00CA04F6">
      <w:pPr>
        <w:jc w:val="right"/>
      </w:pPr>
      <w:r>
        <w:lastRenderedPageBreak/>
        <w:t>PŘÍLOHA K LEGISLATIVNÍMU USNESENÍ</w:t>
      </w:r>
    </w:p>
    <w:bookmarkEnd w:id="7"/>
    <w:p w14:paraId="739A6A2F" w14:textId="08139747" w:rsidR="00E23C64" w:rsidRPr="00D06618" w:rsidRDefault="00E23C64" w:rsidP="00CA04F6">
      <w:pPr>
        <w:spacing w:before="360"/>
        <w:jc w:val="center"/>
        <w:rPr>
          <w:b/>
          <w:bCs/>
        </w:rPr>
      </w:pPr>
      <w:r w:rsidRPr="00D06618">
        <w:rPr>
          <w:b/>
        </w:rPr>
        <w:t xml:space="preserve">Prohlášení Komise o výrobních normách uplatňovaných na dovážené zemědělsko-potravinářské produkty a o sanitárních </w:t>
      </w:r>
      <w:r w:rsidRPr="00CF374C">
        <w:rPr>
          <w:b/>
        </w:rPr>
        <w:t>a fytosanitárních kontrolách u příležitosti přijetí nařízení (EU) 2026/</w:t>
      </w:r>
      <w:r w:rsidR="00CF374C" w:rsidRPr="00CF374C">
        <w:rPr>
          <w:b/>
        </w:rPr>
        <w:t>687</w:t>
      </w:r>
      <w:r w:rsidR="00CF374C" w:rsidRPr="00CF374C">
        <w:rPr>
          <w:rStyle w:val="FootnoteReference"/>
          <w:rFonts w:eastAsia="Aptos"/>
          <w:kern w:val="2"/>
          <w:szCs w:val="22"/>
          <w:lang w:eastAsia="en-US"/>
          <w14:ligatures w14:val="standardContextual"/>
        </w:rPr>
        <w:footnoteReference w:id="2"/>
      </w:r>
    </w:p>
    <w:p w14:paraId="5381E897" w14:textId="39C4CEC2" w:rsidR="00333F96" w:rsidRDefault="00E23C64" w:rsidP="00333F96">
      <w:pPr>
        <w:spacing w:before="240" w:after="240"/>
      </w:pPr>
      <w:r w:rsidRPr="00D06618">
        <w:t>Ve Vizi pro zemědělství a potraviny Komise oznámila své plány usilovat o větší sladění výrobních norem uplatňovaných na dovážené produkty, zejména v souvislosti s dobrými životními podmínkami zvířat a pesticidy.</w:t>
      </w:r>
    </w:p>
    <w:p w14:paraId="4BA92951" w14:textId="62BEF9CC" w:rsidR="00E23C64" w:rsidRPr="00D06618" w:rsidRDefault="00E23C64" w:rsidP="00333F96">
      <w:pPr>
        <w:spacing w:after="240"/>
      </w:pPr>
      <w:r w:rsidRPr="00D06618">
        <w:t>Pokud jde o pesticidy, vize zahrnuje zásadu, že by nemělo být umožněno, aby se nejnebezpečnější pesticidy, které jsou v EU zakázány ze zdravotních a environmentálních důvodů, znovu dostávaly do EU prostřednictvím dovážených produktů, čímž usiluje o to, aby se zabránilo konkurenčnímu znevýhodnění zemědělců a zemědělsko-potravinářského odvětví v EU, a zároveň naplňuje očekávání spotřebitelů. Aby v této věci pokročila, zahájila Komise dne 25. listopadu 2025 studii za účelem vypracování posouzení dopadů, které zváží dopady tohoto přístupu. S ohledem na výsledky Komise případně navrhne změny platného právního rámce. Očekává se, že předběžná studie bude dokončena do léta 2026, a poté budou následovat další kroky týkající se posouzení dopadů. Ačkoli stávající právní předpisy EU již chrání spotřebitele a zajišťují, aby všechny potraviny uváděné na trh splňovaly naše přísné zdravotní a bezpečnostní normy, je Komise i nadále odhodlána usilovat o užší sladění výrobních norem, které se vztahují na dovážené produkty, a zajistit rovné podmínky pro naše zemědělce a výrobce a zachovat ochranu spotřebitele.</w:t>
      </w:r>
    </w:p>
    <w:p w14:paraId="0AF75A91" w14:textId="77777777" w:rsidR="00E23C64" w:rsidRPr="00D06618" w:rsidRDefault="00E23C64" w:rsidP="00333F96">
      <w:pPr>
        <w:spacing w:after="240"/>
      </w:pPr>
      <w:r w:rsidRPr="00D06618">
        <w:t>Komise současně v rámci návrhu balíčku zjednodušujících opatření v oblasti potravin a bezpečnosti ze dne 16. prosince 2025 navrhla změnu stávajících právních předpisů s cílem zajistit, aby u látek, které nejsou v Unii schváleny a které mají určité obzvláště nebezpečné vlastnosti, bylo možné stanovit maximální limity reziduí (MLR) na nulu, bude-li to na základě výsledku posouzení dopadů považováno za vhodné.</w:t>
      </w:r>
    </w:p>
    <w:p w14:paraId="755929C4" w14:textId="77777777" w:rsidR="00E23C64" w:rsidRPr="00D06618" w:rsidRDefault="00E23C64" w:rsidP="00333F96">
      <w:pPr>
        <w:spacing w:after="240"/>
      </w:pPr>
      <w:r w:rsidRPr="00D06618">
        <w:t>Pokud jde o dobré životní podmínky zvířat, Komise dne 17. prosince 2025 uzavřela veřejnou konzultaci týkající se revize právních předpisů EU v oblasti dobrých životních podmínek některých hospodářských zvířat, včetně otázek, zda a do jaké míry by se na dovoz zvířat a živočišných produktů měly vztahovat rovnocenné normy v oblasti dobrých životních podmínek zvířat. V návaznosti na posouzení dopadů připraví Komise příslušné návrhy.</w:t>
      </w:r>
    </w:p>
    <w:p w14:paraId="4AF86F84" w14:textId="2FDEFED0" w:rsidR="006C1187" w:rsidRPr="00C77063" w:rsidRDefault="00E23C64" w:rsidP="009C7DE2">
      <w:pPr>
        <w:spacing w:after="240"/>
      </w:pPr>
      <w:r w:rsidRPr="00D06618">
        <w:t xml:space="preserve">Pokud jde o kontroly dovozu, Komise dne 9. prosince 2025 oznámila plány na posílení a zlepšení auditů prováděných přímo na místě ve všech třetích zemích, včetně dovozu potravin pocházejících ze zemí </w:t>
      </w:r>
      <w:proofErr w:type="spellStart"/>
      <w:r w:rsidRPr="00D06618">
        <w:t>M</w:t>
      </w:r>
      <w:r>
        <w:t>ercosuru</w:t>
      </w:r>
      <w:proofErr w:type="spellEnd"/>
      <w:r w:rsidRPr="00D06618">
        <w:t>. Komise v příštích dvou letech, počínaje 1. lednem 2026, zvýší v zemích mimo EU počet svých auditů týkajících se vývozu, a to o 50 %. Rovněž zintenzivní monitorování komodit a zemí, které nesplňují požadavky, a odpovídajícím způsobem přizpůsobí četnost souvisejících kontrol. Kromě toho Komise posílí úroveň kontrol v rámci EU, zejména na hlavních místech vstupu. V tomto ohledu bude provádět vyšší počet kontrol v členských státech, aby zajistila, že kontroly na hranicích budou plně v souladu s normami EU, a členským státům při řádném provádění těchto kontrol poskytne podporu. Komise zřídí zvláštní pracovní skupinu EU pro zefektivnění dovozních kontrol, která se zaměří zejména na rezidua pesticidů, bezpečnost potravin a krmiv a dobré životní podmínky zvířat, a zváží koordinovaný postup EU pro monitorování dovážených produktů.</w:t>
      </w:r>
    </w:p>
    <w:sectPr w:rsidR="006C1187" w:rsidRPr="00C77063" w:rsidSect="00DA43D5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366AE" w14:textId="77777777" w:rsidR="000A7615" w:rsidRPr="00C77063" w:rsidRDefault="000A7615">
      <w:r w:rsidRPr="00C77063">
        <w:separator/>
      </w:r>
    </w:p>
  </w:endnote>
  <w:endnote w:type="continuationSeparator" w:id="0">
    <w:p w14:paraId="7269455A" w14:textId="77777777" w:rsidR="000A7615" w:rsidRPr="00C77063" w:rsidRDefault="000A7615">
      <w:r w:rsidRPr="00C77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9189F" w14:textId="77777777" w:rsidR="00064002" w:rsidRPr="00C770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8F36" w14:textId="77777777" w:rsidR="00064002" w:rsidRPr="00C770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043E9" w14:textId="77777777" w:rsidR="00064002" w:rsidRPr="00C7706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92512" w14:textId="77777777" w:rsidR="000A7171" w:rsidRPr="00C97949" w:rsidRDefault="000A7171" w:rsidP="00C9794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AFBC" w14:textId="77777777" w:rsidR="000A7171" w:rsidRPr="00187930" w:rsidRDefault="000A7171" w:rsidP="0018793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B8936" w14:textId="77777777" w:rsidR="000A7171" w:rsidRPr="00C97949" w:rsidRDefault="000A7171" w:rsidP="00C979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D0356" w14:textId="77777777" w:rsidR="000A7615" w:rsidRPr="00C77063" w:rsidRDefault="000A7615">
      <w:r w:rsidRPr="00C77063">
        <w:separator/>
      </w:r>
    </w:p>
  </w:footnote>
  <w:footnote w:type="continuationSeparator" w:id="0">
    <w:p w14:paraId="33A23961" w14:textId="77777777" w:rsidR="000A7615" w:rsidRPr="00C77063" w:rsidRDefault="000A7615">
      <w:r w:rsidRPr="00C77063">
        <w:continuationSeparator/>
      </w:r>
    </w:p>
  </w:footnote>
  <w:footnote w:id="1">
    <w:p w14:paraId="15BF764F" w14:textId="76A0F90C" w:rsidR="00DA43D5" w:rsidRPr="00CA04F6" w:rsidRDefault="00DA43D5" w:rsidP="00CA04F6">
      <w:pPr>
        <w:pStyle w:val="FootnoteText"/>
        <w:ind w:left="851" w:hanging="851"/>
        <w:rPr>
          <w:sz w:val="24"/>
          <w:szCs w:val="24"/>
          <w:lang w:val="cs-CZ"/>
        </w:rPr>
      </w:pPr>
      <w:r w:rsidRPr="00CA04F6">
        <w:rPr>
          <w:rStyle w:val="FootnoteReference"/>
          <w:sz w:val="24"/>
          <w:szCs w:val="24"/>
        </w:rPr>
        <w:footnoteRef/>
      </w:r>
      <w:r w:rsidRPr="00CA04F6">
        <w:rPr>
          <w:sz w:val="24"/>
          <w:szCs w:val="24"/>
        </w:rPr>
        <w:t xml:space="preserve"> </w:t>
      </w:r>
      <w:r w:rsidRPr="00CA04F6">
        <w:rPr>
          <w:sz w:val="24"/>
          <w:szCs w:val="24"/>
          <w:lang w:val="cs-CZ"/>
        </w:rPr>
        <w:tab/>
        <w:t>Tento postoj nahrazuje pozměňovací návrhy přijaté dne 16. prosince 2025 (Přijaté texty P10_</w:t>
      </w:r>
      <w:proofErr w:type="gramStart"/>
      <w:r w:rsidRPr="00CA04F6">
        <w:rPr>
          <w:sz w:val="24"/>
          <w:szCs w:val="24"/>
          <w:lang w:val="cs-CZ"/>
        </w:rPr>
        <w:t>TA(</w:t>
      </w:r>
      <w:proofErr w:type="gramEnd"/>
      <w:r w:rsidRPr="00CA04F6">
        <w:rPr>
          <w:sz w:val="24"/>
          <w:szCs w:val="24"/>
          <w:lang w:val="cs-CZ"/>
        </w:rPr>
        <w:t>2025)0315).</w:t>
      </w:r>
    </w:p>
  </w:footnote>
  <w:footnote w:id="2">
    <w:p w14:paraId="729F2408" w14:textId="6B9EE317" w:rsidR="00CF374C" w:rsidRPr="000F5EB9" w:rsidRDefault="00CF374C" w:rsidP="009C7DE2">
      <w:pPr>
        <w:pStyle w:val="FootnoteText"/>
        <w:ind w:left="567" w:hanging="567"/>
        <w:rPr>
          <w:sz w:val="24"/>
          <w:szCs w:val="24"/>
          <w:lang w:val="sk-SK"/>
        </w:rPr>
      </w:pPr>
      <w:r w:rsidRPr="00CF374C">
        <w:rPr>
          <w:rStyle w:val="FootnoteReference"/>
          <w:sz w:val="24"/>
          <w:szCs w:val="24"/>
        </w:rPr>
        <w:footnoteRef/>
      </w:r>
      <w:r w:rsidRPr="00CF374C">
        <w:rPr>
          <w:sz w:val="24"/>
          <w:szCs w:val="24"/>
          <w:lang w:val="fi-FI"/>
        </w:rPr>
        <w:t xml:space="preserve"> </w:t>
      </w:r>
      <w:r w:rsidRPr="00CF374C">
        <w:rPr>
          <w:sz w:val="24"/>
          <w:szCs w:val="24"/>
          <w:lang w:val="sk-SK"/>
        </w:rPr>
        <w:tab/>
      </w:r>
      <w:proofErr w:type="spellStart"/>
      <w:r w:rsidRPr="00CF374C">
        <w:rPr>
          <w:sz w:val="24"/>
          <w:szCs w:val="24"/>
          <w:lang w:val="sk-SK"/>
        </w:rPr>
        <w:t>Úř</w:t>
      </w:r>
      <w:proofErr w:type="spellEnd"/>
      <w:r w:rsidRPr="00CF374C">
        <w:rPr>
          <w:sz w:val="24"/>
          <w:szCs w:val="24"/>
          <w:lang w:val="sk-SK"/>
        </w:rPr>
        <w:t xml:space="preserve">. </w:t>
      </w:r>
      <w:proofErr w:type="spellStart"/>
      <w:r w:rsidRPr="00CF374C">
        <w:rPr>
          <w:sz w:val="24"/>
          <w:szCs w:val="24"/>
          <w:lang w:val="sk-SK"/>
        </w:rPr>
        <w:t>věst</w:t>
      </w:r>
      <w:proofErr w:type="spellEnd"/>
      <w:r w:rsidRPr="00CF374C">
        <w:rPr>
          <w:sz w:val="24"/>
          <w:szCs w:val="24"/>
          <w:lang w:val="sk-SK"/>
        </w:rPr>
        <w:t>.</w:t>
      </w:r>
      <w:r w:rsidRPr="00CF374C">
        <w:rPr>
          <w:sz w:val="24"/>
          <w:szCs w:val="24"/>
          <w:lang w:val="sk-SK"/>
        </w:rPr>
        <w:t xml:space="preserve"> L, 2026/687, 19.3.2026, ELI: </w:t>
      </w:r>
      <w:hyperlink r:id="rId1" w:history="1">
        <w:r w:rsidRPr="00CF374C">
          <w:rPr>
            <w:rStyle w:val="Hyperlink"/>
            <w:szCs w:val="24"/>
            <w:lang w:val="sk-SK"/>
          </w:rPr>
          <w:t>http://data.europa.eu/eli/reg/2026/687/oj</w:t>
        </w:r>
      </w:hyperlink>
      <w:r w:rsidRPr="00CF374C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D31D" w14:textId="77777777" w:rsidR="00064002" w:rsidRPr="00C770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1609F" w14:textId="77777777" w:rsidR="00064002" w:rsidRPr="00C770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6503" w14:textId="77777777" w:rsidR="00064002" w:rsidRPr="00C77063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ACCC2" w14:textId="77777777" w:rsidR="000A7171" w:rsidRPr="00C97949" w:rsidRDefault="000A7171" w:rsidP="00C9794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EE245" w14:textId="77777777" w:rsidR="000A7171" w:rsidRPr="00C97949" w:rsidRDefault="000A7171" w:rsidP="00C9794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4D620" w14:textId="77777777" w:rsidR="000A7171" w:rsidRPr="00C97949" w:rsidRDefault="000A7171" w:rsidP="00C979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439186950">
    <w:abstractNumId w:val="2"/>
  </w:num>
  <w:num w:numId="2" w16cid:durableId="2129468128">
    <w:abstractNumId w:val="9"/>
  </w:num>
  <w:num w:numId="3" w16cid:durableId="1466007105">
    <w:abstractNumId w:val="16"/>
  </w:num>
  <w:num w:numId="4" w16cid:durableId="1475875094">
    <w:abstractNumId w:val="1"/>
  </w:num>
  <w:num w:numId="5" w16cid:durableId="1816027014">
    <w:abstractNumId w:val="17"/>
  </w:num>
  <w:num w:numId="6" w16cid:durableId="1689023111">
    <w:abstractNumId w:val="13"/>
  </w:num>
  <w:num w:numId="7" w16cid:durableId="1106273980">
    <w:abstractNumId w:val="3"/>
  </w:num>
  <w:num w:numId="8" w16cid:durableId="154153400">
    <w:abstractNumId w:val="19"/>
  </w:num>
  <w:num w:numId="9" w16cid:durableId="366873316">
    <w:abstractNumId w:val="21"/>
  </w:num>
  <w:num w:numId="10" w16cid:durableId="1037966521">
    <w:abstractNumId w:val="11"/>
  </w:num>
  <w:num w:numId="11" w16cid:durableId="1971782157">
    <w:abstractNumId w:val="18"/>
  </w:num>
  <w:num w:numId="12" w16cid:durableId="2094692991">
    <w:abstractNumId w:val="14"/>
  </w:num>
  <w:num w:numId="13" w16cid:durableId="1095132390">
    <w:abstractNumId w:val="10"/>
  </w:num>
  <w:num w:numId="14" w16cid:durableId="1026560865">
    <w:abstractNumId w:val="6"/>
  </w:num>
  <w:num w:numId="15" w16cid:durableId="304546926">
    <w:abstractNumId w:val="5"/>
  </w:num>
  <w:num w:numId="16" w16cid:durableId="256207736">
    <w:abstractNumId w:val="15"/>
  </w:num>
  <w:num w:numId="17" w16cid:durableId="876433143">
    <w:abstractNumId w:val="20"/>
  </w:num>
  <w:num w:numId="18" w16cid:durableId="1755589573">
    <w:abstractNumId w:val="0"/>
  </w:num>
  <w:num w:numId="19" w16cid:durableId="1059204818">
    <w:abstractNumId w:val="7"/>
  </w:num>
  <w:num w:numId="20" w16cid:durableId="1023554113">
    <w:abstractNumId w:val="4"/>
  </w:num>
  <w:num w:numId="21" w16cid:durableId="1342467967">
    <w:abstractNumId w:val="8"/>
  </w:num>
  <w:num w:numId="22" w16cid:durableId="1277717369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CS"/>
    <w:docVar w:name="dvnumam" w:val="24"/>
    <w:docVar w:name="dvpe" w:val="779.615"/>
    <w:docVar w:name="dvrapporteur" w:val="Zpravodaj: "/>
    <w:docVar w:name="dvstar" w:val="***I"/>
    <w:docVar w:name="dvtitre" w:val="Legislativní usnesení Evropského parlamentu ze dne.... 2026 o návrhu nařízení Evropského parlamentu a Rady, kterým se provádí dvoustranná ochranná doložka dohody o partnerství mezi EU a Mercosurem a prozatímní dohody o obchodu mezi EU a Mercosurem, pokud jde o zemědělské produkty(COM(2025)0639 – C10-0247/2025 – 2025/0322(COD))"/>
  </w:docVars>
  <w:rsids>
    <w:rsidRoot w:val="000A7615"/>
    <w:rsid w:val="00002272"/>
    <w:rsid w:val="00010AE3"/>
    <w:rsid w:val="00064002"/>
    <w:rsid w:val="000677B9"/>
    <w:rsid w:val="000831BA"/>
    <w:rsid w:val="000A42CC"/>
    <w:rsid w:val="000A7171"/>
    <w:rsid w:val="000A7615"/>
    <w:rsid w:val="000E04CB"/>
    <w:rsid w:val="000E7DD9"/>
    <w:rsid w:val="0010095E"/>
    <w:rsid w:val="00125B37"/>
    <w:rsid w:val="00187494"/>
    <w:rsid w:val="001F32AE"/>
    <w:rsid w:val="002767FF"/>
    <w:rsid w:val="002B18FE"/>
    <w:rsid w:val="002B5493"/>
    <w:rsid w:val="00333F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80C"/>
    <w:rsid w:val="00545827"/>
    <w:rsid w:val="00560270"/>
    <w:rsid w:val="005C2568"/>
    <w:rsid w:val="005F1B17"/>
    <w:rsid w:val="006037C0"/>
    <w:rsid w:val="006631B6"/>
    <w:rsid w:val="00680577"/>
    <w:rsid w:val="006C1187"/>
    <w:rsid w:val="006F27FE"/>
    <w:rsid w:val="006F74FA"/>
    <w:rsid w:val="00705954"/>
    <w:rsid w:val="00731ADD"/>
    <w:rsid w:val="00734777"/>
    <w:rsid w:val="00747932"/>
    <w:rsid w:val="00751A4A"/>
    <w:rsid w:val="00756632"/>
    <w:rsid w:val="00762C74"/>
    <w:rsid w:val="00786EC0"/>
    <w:rsid w:val="007B045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DE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C14"/>
    <w:rsid w:val="00C23CD4"/>
    <w:rsid w:val="00C61C0C"/>
    <w:rsid w:val="00C77063"/>
    <w:rsid w:val="00C941CB"/>
    <w:rsid w:val="00CA04F6"/>
    <w:rsid w:val="00CC2357"/>
    <w:rsid w:val="00CF071A"/>
    <w:rsid w:val="00CF374C"/>
    <w:rsid w:val="00D058B8"/>
    <w:rsid w:val="00D56C11"/>
    <w:rsid w:val="00D834A0"/>
    <w:rsid w:val="00D872DF"/>
    <w:rsid w:val="00D91E21"/>
    <w:rsid w:val="00DA43D5"/>
    <w:rsid w:val="00DA7FCD"/>
    <w:rsid w:val="00E23C64"/>
    <w:rsid w:val="00E365E1"/>
    <w:rsid w:val="00E7558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28FBA"/>
  <w15:chartTrackingRefBased/>
  <w15:docId w15:val="{83FB4406-7278-4E03-9137-4C350C94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C1187"/>
    <w:pPr>
      <w:spacing w:after="120"/>
    </w:pPr>
  </w:style>
  <w:style w:type="paragraph" w:customStyle="1" w:styleId="NormalBold">
    <w:name w:val="NormalBold"/>
    <w:basedOn w:val="Normal"/>
    <w:link w:val="NormalBoldChar"/>
    <w:rsid w:val="006C1187"/>
    <w:rPr>
      <w:b/>
    </w:rPr>
  </w:style>
  <w:style w:type="paragraph" w:customStyle="1" w:styleId="NormalHanging12a">
    <w:name w:val="NormalHanging12a"/>
    <w:basedOn w:val="Normal"/>
    <w:rsid w:val="006C118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C118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C11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C1187"/>
    <w:pPr>
      <w:spacing w:before="240"/>
    </w:pPr>
    <w:rPr>
      <w:b/>
    </w:rPr>
  </w:style>
  <w:style w:type="paragraph" w:customStyle="1" w:styleId="EPComma">
    <w:name w:val="EPComma"/>
    <w:basedOn w:val="Normal"/>
    <w:rsid w:val="006C118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6C1187"/>
    <w:rPr>
      <w:b/>
      <w:sz w:val="24"/>
      <w:lang w:val="cs-CZ"/>
    </w:rPr>
  </w:style>
  <w:style w:type="paragraph" w:styleId="Revision">
    <w:name w:val="Revision"/>
    <w:hidden/>
    <w:uiPriority w:val="99"/>
    <w:semiHidden/>
    <w:rsid w:val="00DA43D5"/>
    <w:rPr>
      <w:sz w:val="24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DA43D5"/>
    <w:pPr>
      <w:widowControl/>
      <w:tabs>
        <w:tab w:val="right" w:pos="9638"/>
      </w:tabs>
      <w:spacing w:before="120" w:after="120" w:line="360" w:lineRule="auto"/>
    </w:pPr>
    <w:rPr>
      <w:rFonts w:eastAsiaTheme="minorHAnsi"/>
      <w:szCs w:val="22"/>
      <w:lang w:eastAsia="cs-CZ" w:bidi="cs-CZ"/>
    </w:rPr>
  </w:style>
  <w:style w:type="character" w:customStyle="1" w:styleId="HeaderChar">
    <w:name w:val="Header Char"/>
    <w:basedOn w:val="DefaultParagraphFont"/>
    <w:link w:val="Header"/>
    <w:uiPriority w:val="99"/>
    <w:rsid w:val="00DA43D5"/>
    <w:rPr>
      <w:rFonts w:eastAsiaTheme="minorHAnsi"/>
      <w:sz w:val="24"/>
      <w:szCs w:val="22"/>
      <w:lang w:val="cs-CZ" w:eastAsia="cs-CZ" w:bidi="cs-CZ"/>
    </w:rPr>
  </w:style>
  <w:style w:type="paragraph" w:styleId="Footer">
    <w:name w:val="footer"/>
    <w:basedOn w:val="Normal"/>
    <w:link w:val="FooterChar"/>
    <w:uiPriority w:val="99"/>
    <w:unhideWhenUsed/>
    <w:rsid w:val="00DA43D5"/>
    <w:pPr>
      <w:widowControl/>
      <w:tabs>
        <w:tab w:val="center" w:pos="4819"/>
        <w:tab w:val="center" w:pos="7370"/>
        <w:tab w:val="right" w:pos="9638"/>
      </w:tabs>
    </w:pPr>
    <w:rPr>
      <w:rFonts w:eastAsiaTheme="minorHAnsi"/>
      <w:szCs w:val="22"/>
      <w:lang w:eastAsia="cs-CZ" w:bidi="cs-CZ"/>
    </w:rPr>
  </w:style>
  <w:style w:type="character" w:customStyle="1" w:styleId="FooterChar">
    <w:name w:val="Footer Char"/>
    <w:basedOn w:val="DefaultParagraphFont"/>
    <w:link w:val="Footer"/>
    <w:uiPriority w:val="99"/>
    <w:rsid w:val="00DA43D5"/>
    <w:rPr>
      <w:rFonts w:eastAsiaTheme="minorHAnsi"/>
      <w:sz w:val="24"/>
      <w:szCs w:val="22"/>
      <w:lang w:val="cs-CZ" w:eastAsia="cs-CZ" w:bidi="cs-CZ"/>
    </w:rPr>
  </w:style>
  <w:style w:type="paragraph" w:customStyle="1" w:styleId="NormalCentered">
    <w:name w:val="Normal Centered"/>
    <w:basedOn w:val="Normal"/>
    <w:rsid w:val="00DA43D5"/>
    <w:pPr>
      <w:widowControl/>
      <w:spacing w:before="200" w:after="120" w:line="360" w:lineRule="auto"/>
      <w:jc w:val="center"/>
    </w:pPr>
    <w:rPr>
      <w:rFonts w:eastAsiaTheme="minorHAnsi"/>
      <w:szCs w:val="22"/>
      <w:lang w:eastAsia="cs-CZ" w:bidi="cs-CZ"/>
    </w:rPr>
  </w:style>
  <w:style w:type="paragraph" w:customStyle="1" w:styleId="NormalRight">
    <w:name w:val="Normal Right"/>
    <w:basedOn w:val="Normal"/>
    <w:rsid w:val="00DA43D5"/>
    <w:pPr>
      <w:widowControl/>
      <w:spacing w:before="200" w:after="120" w:line="360" w:lineRule="auto"/>
      <w:jc w:val="right"/>
    </w:pPr>
    <w:rPr>
      <w:rFonts w:eastAsiaTheme="minorHAnsi"/>
      <w:szCs w:val="22"/>
      <w:lang w:eastAsia="cs-CZ" w:bidi="cs-CZ"/>
    </w:rPr>
  </w:style>
  <w:style w:type="paragraph" w:customStyle="1" w:styleId="NormalJustified">
    <w:name w:val="Normal Justified"/>
    <w:basedOn w:val="Normal"/>
    <w:rsid w:val="00DA43D5"/>
    <w:pPr>
      <w:widowControl/>
      <w:spacing w:before="200" w:after="120" w:line="360" w:lineRule="auto"/>
      <w:jc w:val="both"/>
    </w:pPr>
    <w:rPr>
      <w:rFonts w:eastAsiaTheme="minorHAnsi"/>
      <w:szCs w:val="22"/>
      <w:lang w:eastAsia="cs-CZ" w:bidi="cs-CZ"/>
    </w:rPr>
  </w:style>
  <w:style w:type="paragraph" w:customStyle="1" w:styleId="HeaderLandscape">
    <w:name w:val="HeaderLandscape"/>
    <w:basedOn w:val="Normal"/>
    <w:rsid w:val="00DA43D5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FooterLandscape">
    <w:name w:val="FooterLandscape"/>
    <w:basedOn w:val="Normal"/>
    <w:rsid w:val="00DA43D5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cs-CZ" w:bidi="cs-CZ"/>
    </w:rPr>
  </w:style>
  <w:style w:type="paragraph" w:customStyle="1" w:styleId="HeaderCouncil">
    <w:name w:val="Header Council"/>
    <w:basedOn w:val="Normal"/>
    <w:rsid w:val="00DA43D5"/>
    <w:pPr>
      <w:widowControl/>
    </w:pPr>
    <w:rPr>
      <w:rFonts w:eastAsiaTheme="minorHAnsi"/>
      <w:sz w:val="2"/>
      <w:szCs w:val="22"/>
      <w:lang w:eastAsia="cs-CZ" w:bidi="cs-CZ"/>
    </w:rPr>
  </w:style>
  <w:style w:type="paragraph" w:customStyle="1" w:styleId="FooterCouncil">
    <w:name w:val="Footer Council"/>
    <w:basedOn w:val="Normal"/>
    <w:rsid w:val="00DA43D5"/>
    <w:pPr>
      <w:widowControl/>
    </w:pPr>
    <w:rPr>
      <w:rFonts w:eastAsiaTheme="minorHAnsi"/>
      <w:sz w:val="2"/>
      <w:szCs w:val="22"/>
      <w:lang w:eastAsia="cs-CZ" w:bidi="cs-CZ"/>
    </w:rPr>
  </w:style>
  <w:style w:type="paragraph" w:customStyle="1" w:styleId="TechnicalBlock">
    <w:name w:val="Technical Block"/>
    <w:basedOn w:val="Normal"/>
    <w:next w:val="Normal"/>
    <w:rsid w:val="00DA43D5"/>
    <w:pPr>
      <w:widowControl/>
      <w:spacing w:after="240"/>
      <w:jc w:val="center"/>
    </w:pPr>
    <w:rPr>
      <w:rFonts w:eastAsiaTheme="minorHAnsi"/>
      <w:szCs w:val="22"/>
      <w:lang w:eastAsia="cs-CZ" w:bidi="cs-CZ"/>
    </w:rPr>
  </w:style>
  <w:style w:type="paragraph" w:customStyle="1" w:styleId="FinalLine">
    <w:name w:val="Final Line"/>
    <w:basedOn w:val="Normal"/>
    <w:next w:val="Normal"/>
    <w:rsid w:val="00DA43D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cs-CZ" w:bidi="cs-CZ"/>
    </w:rPr>
  </w:style>
  <w:style w:type="paragraph" w:customStyle="1" w:styleId="FinalLineLandscape">
    <w:name w:val="Final Line (Landscape)"/>
    <w:basedOn w:val="Normal"/>
    <w:next w:val="Normal"/>
    <w:rsid w:val="00DA43D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cs-CZ" w:bidi="cs-CZ"/>
    </w:rPr>
  </w:style>
  <w:style w:type="paragraph" w:customStyle="1" w:styleId="Text1">
    <w:name w:val="Text 1"/>
    <w:basedOn w:val="Normal"/>
    <w:rsid w:val="00DA43D5"/>
    <w:pPr>
      <w:widowControl/>
      <w:spacing w:before="120" w:after="120" w:line="360" w:lineRule="auto"/>
      <w:ind w:left="567"/>
    </w:pPr>
    <w:rPr>
      <w:rFonts w:eastAsiaTheme="minorHAnsi"/>
      <w:szCs w:val="22"/>
      <w:lang w:eastAsia="cs-CZ" w:bidi="cs-CZ"/>
    </w:rPr>
  </w:style>
  <w:style w:type="paragraph" w:customStyle="1" w:styleId="Text2">
    <w:name w:val="Text 2"/>
    <w:basedOn w:val="Normal"/>
    <w:rsid w:val="00DA43D5"/>
    <w:pPr>
      <w:widowControl/>
      <w:spacing w:before="120" w:after="120" w:line="360" w:lineRule="auto"/>
      <w:ind w:left="1134"/>
    </w:pPr>
    <w:rPr>
      <w:rFonts w:eastAsiaTheme="minorHAnsi"/>
      <w:szCs w:val="22"/>
      <w:lang w:eastAsia="cs-CZ" w:bidi="cs-CZ"/>
    </w:rPr>
  </w:style>
  <w:style w:type="paragraph" w:customStyle="1" w:styleId="Text3">
    <w:name w:val="Text 3"/>
    <w:basedOn w:val="Normal"/>
    <w:rsid w:val="00DA43D5"/>
    <w:pPr>
      <w:widowControl/>
      <w:spacing w:before="120" w:after="120" w:line="360" w:lineRule="auto"/>
      <w:ind w:left="1701"/>
    </w:pPr>
    <w:rPr>
      <w:rFonts w:eastAsiaTheme="minorHAnsi"/>
      <w:szCs w:val="22"/>
      <w:lang w:eastAsia="cs-CZ" w:bidi="cs-CZ"/>
    </w:rPr>
  </w:style>
  <w:style w:type="paragraph" w:customStyle="1" w:styleId="Text4">
    <w:name w:val="Text 4"/>
    <w:basedOn w:val="Normal"/>
    <w:rsid w:val="00DA43D5"/>
    <w:pPr>
      <w:widowControl/>
      <w:spacing w:before="120" w:after="120" w:line="360" w:lineRule="auto"/>
      <w:ind w:left="2268"/>
    </w:pPr>
    <w:rPr>
      <w:rFonts w:eastAsiaTheme="minorHAnsi"/>
      <w:szCs w:val="22"/>
      <w:lang w:eastAsia="cs-CZ" w:bidi="cs-CZ"/>
    </w:rPr>
  </w:style>
  <w:style w:type="paragraph" w:customStyle="1" w:styleId="Text5">
    <w:name w:val="Text 5"/>
    <w:basedOn w:val="Normal"/>
    <w:rsid w:val="00DA43D5"/>
    <w:pPr>
      <w:widowControl/>
      <w:spacing w:before="120" w:after="120" w:line="360" w:lineRule="auto"/>
      <w:ind w:left="2835"/>
    </w:pPr>
    <w:rPr>
      <w:rFonts w:eastAsiaTheme="minorHAnsi"/>
      <w:szCs w:val="22"/>
      <w:lang w:eastAsia="cs-CZ" w:bidi="cs-CZ"/>
    </w:rPr>
  </w:style>
  <w:style w:type="paragraph" w:customStyle="1" w:styleId="Text6">
    <w:name w:val="Text 6"/>
    <w:basedOn w:val="Normal"/>
    <w:rsid w:val="00DA43D5"/>
    <w:pPr>
      <w:widowControl/>
      <w:spacing w:before="120" w:after="120" w:line="360" w:lineRule="auto"/>
      <w:ind w:left="3402"/>
    </w:pPr>
    <w:rPr>
      <w:rFonts w:eastAsiaTheme="minorHAnsi"/>
      <w:szCs w:val="22"/>
      <w:lang w:eastAsia="cs-CZ" w:bidi="cs-CZ"/>
    </w:rPr>
  </w:style>
  <w:style w:type="paragraph" w:customStyle="1" w:styleId="PointManual">
    <w:name w:val="Point Manual"/>
    <w:basedOn w:val="Normal"/>
    <w:rsid w:val="00DA43D5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cs-CZ" w:bidi="cs-CZ"/>
    </w:rPr>
  </w:style>
  <w:style w:type="paragraph" w:customStyle="1" w:styleId="PointManual1">
    <w:name w:val="Point Manual (1)"/>
    <w:basedOn w:val="Normal"/>
    <w:rsid w:val="00DA43D5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cs-CZ" w:bidi="cs-CZ"/>
    </w:rPr>
  </w:style>
  <w:style w:type="paragraph" w:customStyle="1" w:styleId="PointManual2">
    <w:name w:val="Point Manual (2)"/>
    <w:basedOn w:val="Normal"/>
    <w:rsid w:val="00DA43D5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cs-CZ" w:bidi="cs-CZ"/>
    </w:rPr>
  </w:style>
  <w:style w:type="paragraph" w:customStyle="1" w:styleId="PointManual3">
    <w:name w:val="Point Manual (3)"/>
    <w:basedOn w:val="Normal"/>
    <w:rsid w:val="00DA43D5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cs-CZ" w:bidi="cs-CZ"/>
    </w:rPr>
  </w:style>
  <w:style w:type="paragraph" w:customStyle="1" w:styleId="PointManual4">
    <w:name w:val="Point Manual (4)"/>
    <w:basedOn w:val="Normal"/>
    <w:rsid w:val="00DA43D5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cs-CZ" w:bidi="cs-CZ"/>
    </w:rPr>
  </w:style>
  <w:style w:type="paragraph" w:customStyle="1" w:styleId="PointDoubleManual">
    <w:name w:val="Point Double Manual"/>
    <w:basedOn w:val="Normal"/>
    <w:rsid w:val="00DA43D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cs-CZ" w:bidi="cs-CZ"/>
    </w:rPr>
  </w:style>
  <w:style w:type="paragraph" w:customStyle="1" w:styleId="PointDoubleManual1">
    <w:name w:val="Point Double Manual (1)"/>
    <w:basedOn w:val="Normal"/>
    <w:rsid w:val="00DA43D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cs-CZ" w:bidi="cs-CZ"/>
    </w:rPr>
  </w:style>
  <w:style w:type="paragraph" w:customStyle="1" w:styleId="PointDoubleManual2">
    <w:name w:val="Point Double Manual (2)"/>
    <w:basedOn w:val="Normal"/>
    <w:rsid w:val="00DA43D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cs-CZ" w:bidi="cs-CZ"/>
    </w:rPr>
  </w:style>
  <w:style w:type="paragraph" w:customStyle="1" w:styleId="PointDoubleManual3">
    <w:name w:val="Point Double Manual (3)"/>
    <w:basedOn w:val="Normal"/>
    <w:rsid w:val="00DA43D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cs-CZ" w:bidi="cs-CZ"/>
    </w:rPr>
  </w:style>
  <w:style w:type="paragraph" w:customStyle="1" w:styleId="PointDoubleManual4">
    <w:name w:val="Point Double Manual (4)"/>
    <w:basedOn w:val="Normal"/>
    <w:rsid w:val="00DA43D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cs-CZ" w:bidi="cs-CZ"/>
    </w:rPr>
  </w:style>
  <w:style w:type="paragraph" w:customStyle="1" w:styleId="Pointabc">
    <w:name w:val="Point abc"/>
    <w:basedOn w:val="Normal"/>
    <w:rsid w:val="00DA43D5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abc1">
    <w:name w:val="Point abc (1)"/>
    <w:basedOn w:val="Normal"/>
    <w:rsid w:val="00DA43D5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abc2">
    <w:name w:val="Point abc (2)"/>
    <w:basedOn w:val="Normal"/>
    <w:rsid w:val="00DA43D5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abc3">
    <w:name w:val="Point abc (3)"/>
    <w:basedOn w:val="Normal"/>
    <w:rsid w:val="00DA43D5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abc4">
    <w:name w:val="Point abc (4)"/>
    <w:basedOn w:val="Normal"/>
    <w:rsid w:val="00DA43D5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123">
    <w:name w:val="Point 123"/>
    <w:basedOn w:val="Normal"/>
    <w:rsid w:val="00DA43D5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1231">
    <w:name w:val="Point 123 (1)"/>
    <w:basedOn w:val="Normal"/>
    <w:rsid w:val="00DA43D5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1232">
    <w:name w:val="Point 123 (2)"/>
    <w:basedOn w:val="Normal"/>
    <w:rsid w:val="00DA43D5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1233">
    <w:name w:val="Point 123 (3)"/>
    <w:basedOn w:val="Normal"/>
    <w:rsid w:val="00DA43D5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ivx">
    <w:name w:val="Point ivx"/>
    <w:basedOn w:val="Normal"/>
    <w:rsid w:val="00DA43D5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ivx1">
    <w:name w:val="Point ivx (1)"/>
    <w:basedOn w:val="Normal"/>
    <w:rsid w:val="00DA43D5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ivx2">
    <w:name w:val="Point ivx (2)"/>
    <w:basedOn w:val="Normal"/>
    <w:rsid w:val="00DA43D5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ivx3">
    <w:name w:val="Point ivx (3)"/>
    <w:basedOn w:val="Normal"/>
    <w:rsid w:val="00DA43D5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Pointivx4">
    <w:name w:val="Point ivx (4)"/>
    <w:basedOn w:val="Normal"/>
    <w:rsid w:val="00DA43D5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Bullet">
    <w:name w:val="Bullet"/>
    <w:basedOn w:val="Normal"/>
    <w:rsid w:val="00DA43D5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Bullet1">
    <w:name w:val="Bullet 1"/>
    <w:basedOn w:val="Normal"/>
    <w:rsid w:val="00DA43D5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Bullet2">
    <w:name w:val="Bullet 2"/>
    <w:basedOn w:val="Normal"/>
    <w:rsid w:val="00DA43D5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Bullet3">
    <w:name w:val="Bullet 3"/>
    <w:basedOn w:val="Normal"/>
    <w:rsid w:val="00DA43D5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Bullet4">
    <w:name w:val="Bullet 4"/>
    <w:basedOn w:val="Normal"/>
    <w:rsid w:val="00DA43D5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Dash">
    <w:name w:val="Dash"/>
    <w:basedOn w:val="Normal"/>
    <w:rsid w:val="00DA43D5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Dash1">
    <w:name w:val="Dash 1"/>
    <w:basedOn w:val="Normal"/>
    <w:rsid w:val="00DA43D5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Dash2">
    <w:name w:val="Dash 2"/>
    <w:basedOn w:val="Normal"/>
    <w:rsid w:val="00DA43D5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Dash3">
    <w:name w:val="Dash 3"/>
    <w:basedOn w:val="Normal"/>
    <w:rsid w:val="00DA43D5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Dash4">
    <w:name w:val="Dash 4"/>
    <w:basedOn w:val="Normal"/>
    <w:rsid w:val="00DA43D5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cs-CZ" w:bidi="cs-CZ"/>
    </w:rPr>
  </w:style>
  <w:style w:type="paragraph" w:customStyle="1" w:styleId="DashEqual">
    <w:name w:val="Dash Equal"/>
    <w:basedOn w:val="Dash"/>
    <w:rsid w:val="00DA43D5"/>
    <w:pPr>
      <w:numPr>
        <w:numId w:val="8"/>
      </w:numPr>
    </w:pPr>
  </w:style>
  <w:style w:type="paragraph" w:customStyle="1" w:styleId="DashEqual1">
    <w:name w:val="Dash Equal 1"/>
    <w:basedOn w:val="Dash1"/>
    <w:rsid w:val="00DA43D5"/>
    <w:pPr>
      <w:numPr>
        <w:numId w:val="9"/>
      </w:numPr>
    </w:pPr>
  </w:style>
  <w:style w:type="paragraph" w:customStyle="1" w:styleId="DashEqual2">
    <w:name w:val="Dash Equal 2"/>
    <w:basedOn w:val="Dash2"/>
    <w:rsid w:val="00DA43D5"/>
    <w:pPr>
      <w:numPr>
        <w:numId w:val="10"/>
      </w:numPr>
    </w:pPr>
  </w:style>
  <w:style w:type="paragraph" w:customStyle="1" w:styleId="DashEqual3">
    <w:name w:val="Dash Equal 3"/>
    <w:basedOn w:val="Dash3"/>
    <w:rsid w:val="00DA43D5"/>
    <w:pPr>
      <w:numPr>
        <w:numId w:val="11"/>
      </w:numPr>
    </w:pPr>
  </w:style>
  <w:style w:type="paragraph" w:customStyle="1" w:styleId="DashEqual4">
    <w:name w:val="Dash Equal 4"/>
    <w:basedOn w:val="Dash4"/>
    <w:rsid w:val="00DA43D5"/>
    <w:pPr>
      <w:numPr>
        <w:numId w:val="12"/>
      </w:numPr>
    </w:pPr>
  </w:style>
  <w:style w:type="character" w:customStyle="1" w:styleId="Marker">
    <w:name w:val="Marker"/>
    <w:basedOn w:val="DefaultParagraphFont"/>
    <w:rsid w:val="00DA43D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A43D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A43D5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cs-CZ" w:bidi="cs-CZ"/>
    </w:rPr>
  </w:style>
  <w:style w:type="paragraph" w:customStyle="1" w:styleId="HeadingIVX">
    <w:name w:val="Heading IVX"/>
    <w:basedOn w:val="HeadingLeft"/>
    <w:next w:val="Normal"/>
    <w:rsid w:val="00DA43D5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DA43D5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DA43D5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DA43D5"/>
    <w:pPr>
      <w:jc w:val="center"/>
    </w:pPr>
  </w:style>
  <w:style w:type="paragraph" w:customStyle="1" w:styleId="Jardin">
    <w:name w:val="Jardin"/>
    <w:basedOn w:val="Normal"/>
    <w:rsid w:val="00DA43D5"/>
    <w:pPr>
      <w:widowControl/>
      <w:spacing w:before="200"/>
      <w:jc w:val="center"/>
    </w:pPr>
    <w:rPr>
      <w:rFonts w:eastAsiaTheme="minorHAnsi"/>
      <w:szCs w:val="22"/>
      <w:lang w:eastAsia="cs-CZ" w:bidi="cs-CZ"/>
    </w:rPr>
  </w:style>
  <w:style w:type="paragraph" w:customStyle="1" w:styleId="Amendment">
    <w:name w:val="Amendment"/>
    <w:basedOn w:val="Normal"/>
    <w:next w:val="Normal"/>
    <w:rsid w:val="00DA43D5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cs-CZ" w:bidi="cs-CZ"/>
    </w:rPr>
  </w:style>
  <w:style w:type="paragraph" w:customStyle="1" w:styleId="AmendmentList">
    <w:name w:val="Amendment List"/>
    <w:basedOn w:val="Normal"/>
    <w:rsid w:val="00DA43D5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cs-CZ" w:bidi="cs-CZ"/>
    </w:rPr>
  </w:style>
  <w:style w:type="paragraph" w:customStyle="1" w:styleId="ReplyRE">
    <w:name w:val="Reply RE"/>
    <w:basedOn w:val="Normal"/>
    <w:next w:val="Normal"/>
    <w:rsid w:val="00DA43D5"/>
    <w:pPr>
      <w:widowControl/>
      <w:spacing w:before="120" w:after="480"/>
      <w:contextualSpacing/>
    </w:pPr>
    <w:rPr>
      <w:rFonts w:eastAsiaTheme="minorHAnsi"/>
      <w:szCs w:val="22"/>
      <w:lang w:eastAsia="cs-CZ" w:bidi="cs-CZ"/>
    </w:rPr>
  </w:style>
  <w:style w:type="paragraph" w:customStyle="1" w:styleId="ReplyBold">
    <w:name w:val="Reply Bold"/>
    <w:basedOn w:val="ReplyRE"/>
    <w:next w:val="Normal"/>
    <w:rsid w:val="00DA43D5"/>
    <w:rPr>
      <w:b/>
    </w:rPr>
  </w:style>
  <w:style w:type="paragraph" w:customStyle="1" w:styleId="Annex">
    <w:name w:val="Annex"/>
    <w:basedOn w:val="Normal"/>
    <w:next w:val="Normal"/>
    <w:rsid w:val="00DA43D5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cs-CZ" w:bidi="cs-CZ"/>
    </w:rPr>
  </w:style>
  <w:style w:type="paragraph" w:customStyle="1" w:styleId="Sign">
    <w:name w:val="Sign"/>
    <w:basedOn w:val="Normal"/>
    <w:rsid w:val="00DA43D5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cs-CZ" w:bidi="cs-CZ"/>
    </w:rPr>
  </w:style>
  <w:style w:type="paragraph" w:customStyle="1" w:styleId="NotDeclassified">
    <w:name w:val="Not Declassified"/>
    <w:basedOn w:val="Normal"/>
    <w:next w:val="Normal"/>
    <w:rsid w:val="00DA43D5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cs-CZ" w:bidi="cs-CZ"/>
    </w:rPr>
  </w:style>
  <w:style w:type="character" w:customStyle="1" w:styleId="NotDeclassifiedCharacter">
    <w:name w:val="Not Declassified Character"/>
    <w:basedOn w:val="DefaultParagraphFont"/>
    <w:rsid w:val="00DA43D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A43D5"/>
    <w:pPr>
      <w:widowControl/>
      <w:spacing w:before="120" w:after="120"/>
    </w:pPr>
    <w:rPr>
      <w:rFonts w:eastAsiaTheme="minorHAnsi"/>
      <w:szCs w:val="22"/>
      <w:lang w:eastAsia="cs-CZ" w:bidi="cs-CZ"/>
    </w:rPr>
  </w:style>
  <w:style w:type="paragraph" w:styleId="EndnoteText">
    <w:name w:val="endnote text"/>
    <w:basedOn w:val="Normal"/>
    <w:link w:val="EndnoteTextChar"/>
    <w:uiPriority w:val="99"/>
    <w:unhideWhenUsed/>
    <w:rsid w:val="00DA43D5"/>
    <w:pPr>
      <w:widowControl/>
    </w:pPr>
    <w:rPr>
      <w:rFonts w:eastAsiaTheme="minorHAnsi"/>
      <w:sz w:val="20"/>
      <w:lang w:eastAsia="cs-CZ" w:bidi="cs-CZ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A43D5"/>
    <w:rPr>
      <w:rFonts w:eastAsiaTheme="minorHAnsi"/>
      <w:lang w:val="cs-CZ" w:eastAsia="cs-CZ" w:bidi="cs-CZ"/>
    </w:rPr>
  </w:style>
  <w:style w:type="character" w:styleId="EndnoteReference">
    <w:name w:val="endnote reference"/>
    <w:basedOn w:val="DefaultParagraphFont"/>
    <w:uiPriority w:val="99"/>
    <w:unhideWhenUsed/>
    <w:rsid w:val="00DA43D5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DA43D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A43D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A43D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A43D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DA43D5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DA43D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DA43D5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cs-CZ" w:bidi="cs-CZ"/>
    </w:rPr>
  </w:style>
  <w:style w:type="paragraph" w:customStyle="1" w:styleId="TBSousEmbargo">
    <w:name w:val="TBSousEmbargo"/>
    <w:basedOn w:val="TechnicalBlockBase"/>
    <w:qFormat/>
    <w:rsid w:val="00DA43D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A43D5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SubjectTable">
    <w:name w:val="TBSubjectTable"/>
    <w:basedOn w:val="TechnicalBlockBase"/>
    <w:rsid w:val="00DA43D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DA43D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DA43D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A43D5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A43D5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paragraph" w:customStyle="1" w:styleId="HeaderCouncilLarge">
    <w:name w:val="Header Council Large"/>
    <w:basedOn w:val="Normal"/>
    <w:link w:val="HeaderCouncilLargeChar"/>
    <w:rsid w:val="00DA43D5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cs-CZ" w:bidi="cs-CZ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A43D5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cs-CZ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DA43D5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cs-CZ" w:eastAsia="cs-CZ" w:bidi="cs-CZ"/>
    </w:rPr>
  </w:style>
  <w:style w:type="paragraph" w:customStyle="1" w:styleId="FooterText">
    <w:name w:val="Footer Text"/>
    <w:basedOn w:val="Normal"/>
    <w:rsid w:val="00DA43D5"/>
    <w:pPr>
      <w:widowControl/>
    </w:pPr>
    <w:rPr>
      <w:szCs w:val="24"/>
      <w:lang w:eastAsia="cs-CZ" w:bidi="cs-CZ"/>
    </w:rPr>
  </w:style>
  <w:style w:type="character" w:styleId="PlaceholderText">
    <w:name w:val="Placeholder Text"/>
    <w:basedOn w:val="DefaultParagraphFont"/>
    <w:uiPriority w:val="99"/>
    <w:semiHidden/>
    <w:rsid w:val="00DA43D5"/>
    <w:rPr>
      <w:color w:val="808080"/>
    </w:rPr>
  </w:style>
  <w:style w:type="character" w:styleId="Hyperlink">
    <w:name w:val="Hyperlink"/>
    <w:uiPriority w:val="99"/>
    <w:rsid w:val="00DA43D5"/>
    <w:rPr>
      <w:rFonts w:ascii="Times New Roman" w:hAnsi="Times New Roman"/>
      <w:color w:val="0000FF"/>
      <w:sz w:val="24"/>
      <w:u w:val="single"/>
    </w:rPr>
  </w:style>
  <w:style w:type="paragraph" w:customStyle="1" w:styleId="Point0">
    <w:name w:val="Point 0"/>
    <w:basedOn w:val="Normal"/>
    <w:rsid w:val="00DA43D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cs-CZ" w:bidi="cs-CZ"/>
    </w:rPr>
  </w:style>
  <w:style w:type="paragraph" w:customStyle="1" w:styleId="Point1">
    <w:name w:val="Point 1"/>
    <w:basedOn w:val="Normal"/>
    <w:rsid w:val="00DA43D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cs-CZ" w:bidi="cs-CZ"/>
    </w:rPr>
  </w:style>
  <w:style w:type="paragraph" w:customStyle="1" w:styleId="ManualNumPar1">
    <w:name w:val="Manual NumPar 1"/>
    <w:basedOn w:val="Normal"/>
    <w:next w:val="Text1"/>
    <w:rsid w:val="00DA43D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cs-CZ" w:bidi="cs-CZ"/>
    </w:rPr>
  </w:style>
  <w:style w:type="paragraph" w:customStyle="1" w:styleId="Annexetitre">
    <w:name w:val="Annexe titre"/>
    <w:basedOn w:val="Normal"/>
    <w:next w:val="Normal"/>
    <w:rsid w:val="00DA43D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cs-CZ" w:bidi="cs-CZ"/>
    </w:rPr>
  </w:style>
  <w:style w:type="paragraph" w:customStyle="1" w:styleId="Fait">
    <w:name w:val="Fait à"/>
    <w:basedOn w:val="Normal"/>
    <w:next w:val="Institutionquisigne"/>
    <w:rsid w:val="00DA43D5"/>
    <w:pPr>
      <w:keepNext/>
      <w:widowControl/>
      <w:spacing w:before="120"/>
      <w:jc w:val="both"/>
    </w:pPr>
    <w:rPr>
      <w:rFonts w:eastAsiaTheme="minorHAnsi"/>
      <w:szCs w:val="22"/>
      <w:lang w:eastAsia="cs-CZ" w:bidi="cs-CZ"/>
    </w:rPr>
  </w:style>
  <w:style w:type="paragraph" w:customStyle="1" w:styleId="Formuledadoption">
    <w:name w:val="Formule d'adoption"/>
    <w:basedOn w:val="Normal"/>
    <w:next w:val="Titrearticle"/>
    <w:rsid w:val="00DA43D5"/>
    <w:pPr>
      <w:keepNext/>
      <w:widowControl/>
      <w:spacing w:before="120" w:after="120"/>
      <w:jc w:val="both"/>
    </w:pPr>
    <w:rPr>
      <w:rFonts w:eastAsiaTheme="minorHAnsi"/>
      <w:szCs w:val="22"/>
      <w:lang w:eastAsia="cs-CZ" w:bidi="cs-CZ"/>
    </w:rPr>
  </w:style>
  <w:style w:type="paragraph" w:customStyle="1" w:styleId="Institutionquiagit">
    <w:name w:val="Institution qui agit"/>
    <w:basedOn w:val="Normal"/>
    <w:next w:val="Normal"/>
    <w:rsid w:val="00DA43D5"/>
    <w:pPr>
      <w:keepNext/>
      <w:widowControl/>
      <w:spacing w:before="600" w:after="120"/>
      <w:jc w:val="both"/>
    </w:pPr>
    <w:rPr>
      <w:rFonts w:eastAsiaTheme="minorHAnsi"/>
      <w:szCs w:val="22"/>
      <w:lang w:eastAsia="cs-CZ" w:bidi="cs-CZ"/>
    </w:rPr>
  </w:style>
  <w:style w:type="paragraph" w:customStyle="1" w:styleId="Institutionquisigne">
    <w:name w:val="Institution qui signe"/>
    <w:basedOn w:val="Normal"/>
    <w:next w:val="Personnequisigne"/>
    <w:rsid w:val="00DA43D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cs-CZ" w:bidi="cs-CZ"/>
    </w:rPr>
  </w:style>
  <w:style w:type="paragraph" w:customStyle="1" w:styleId="ManualConsidrant">
    <w:name w:val="Manual Considérant"/>
    <w:basedOn w:val="Normal"/>
    <w:rsid w:val="00DA43D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cs-CZ" w:bidi="cs-CZ"/>
    </w:rPr>
  </w:style>
  <w:style w:type="paragraph" w:customStyle="1" w:styleId="Personnequisigne">
    <w:name w:val="Personne qui signe"/>
    <w:basedOn w:val="Normal"/>
    <w:next w:val="Institutionquisigne"/>
    <w:rsid w:val="00DA43D5"/>
    <w:pPr>
      <w:widowControl/>
      <w:tabs>
        <w:tab w:val="left" w:pos="4252"/>
      </w:tabs>
    </w:pPr>
    <w:rPr>
      <w:rFonts w:eastAsiaTheme="minorHAnsi"/>
      <w:i/>
      <w:szCs w:val="22"/>
      <w:lang w:eastAsia="cs-CZ" w:bidi="cs-CZ"/>
    </w:rPr>
  </w:style>
  <w:style w:type="paragraph" w:customStyle="1" w:styleId="Rfrenceinterinstitutionnelle">
    <w:name w:val="Référence interinstitutionnelle"/>
    <w:basedOn w:val="Normal"/>
    <w:next w:val="Normal"/>
    <w:rsid w:val="00DA43D5"/>
    <w:pPr>
      <w:widowControl/>
      <w:ind w:left="5103"/>
    </w:pPr>
    <w:rPr>
      <w:rFonts w:eastAsiaTheme="minorHAnsi"/>
      <w:szCs w:val="22"/>
      <w:lang w:eastAsia="cs-CZ" w:bidi="cs-CZ"/>
    </w:rPr>
  </w:style>
  <w:style w:type="paragraph" w:customStyle="1" w:styleId="Titrearticle">
    <w:name w:val="Titre article"/>
    <w:basedOn w:val="Normal"/>
    <w:next w:val="Normal"/>
    <w:rsid w:val="00DA43D5"/>
    <w:pPr>
      <w:keepNext/>
      <w:widowControl/>
      <w:spacing w:before="360" w:after="120"/>
      <w:jc w:val="center"/>
    </w:pPr>
    <w:rPr>
      <w:rFonts w:eastAsiaTheme="minorHAnsi"/>
      <w:i/>
      <w:szCs w:val="22"/>
      <w:lang w:eastAsia="cs-CZ" w:bidi="cs-CZ"/>
    </w:rPr>
  </w:style>
  <w:style w:type="paragraph" w:customStyle="1" w:styleId="Titreobjet">
    <w:name w:val="Titre objet"/>
    <w:basedOn w:val="Normal"/>
    <w:next w:val="Normal"/>
    <w:rsid w:val="00DA43D5"/>
    <w:pPr>
      <w:widowControl/>
      <w:spacing w:before="360" w:after="360"/>
      <w:jc w:val="center"/>
    </w:pPr>
    <w:rPr>
      <w:rFonts w:eastAsiaTheme="minorHAnsi"/>
      <w:b/>
      <w:szCs w:val="22"/>
      <w:lang w:eastAsia="cs-CZ" w:bidi="cs-CZ"/>
    </w:rPr>
  </w:style>
  <w:style w:type="paragraph" w:customStyle="1" w:styleId="Typedudocument">
    <w:name w:val="Type du document"/>
    <w:basedOn w:val="Normal"/>
    <w:next w:val="Titreobjet"/>
    <w:rsid w:val="00DA43D5"/>
    <w:pPr>
      <w:widowControl/>
      <w:spacing w:before="360"/>
      <w:jc w:val="center"/>
    </w:pPr>
    <w:rPr>
      <w:rFonts w:eastAsiaTheme="minorHAnsi"/>
      <w:b/>
      <w:szCs w:val="22"/>
      <w:lang w:eastAsia="cs-CZ" w:bidi="cs-CZ"/>
    </w:rPr>
  </w:style>
  <w:style w:type="character" w:styleId="CommentReference">
    <w:name w:val="annotation reference"/>
    <w:basedOn w:val="DefaultParagraphFont"/>
    <w:uiPriority w:val="99"/>
    <w:unhideWhenUsed/>
    <w:rsid w:val="00DA4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43D5"/>
    <w:pPr>
      <w:widowControl/>
      <w:spacing w:before="120" w:after="120"/>
    </w:pPr>
    <w:rPr>
      <w:rFonts w:eastAsiaTheme="minorHAnsi"/>
      <w:sz w:val="20"/>
      <w:lang w:eastAsia="cs-CZ" w:bidi="cs-CZ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43D5"/>
    <w:rPr>
      <w:rFonts w:eastAsiaTheme="minorHAnsi"/>
      <w:lang w:val="cs-CZ" w:eastAsia="cs-CZ" w:bidi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4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A43D5"/>
    <w:rPr>
      <w:rFonts w:eastAsiaTheme="minorHAnsi"/>
      <w:b/>
      <w:bCs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6/6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827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2026-04-13T16:25:00Z</dcterms:created>
  <dcterms:modified xsi:type="dcterms:W3CDTF">2026-04-13T16:25:00Z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P10_TA(2026)0030_</vt:lpwstr>
  </property>
  <property fmtid="{D5CDD505-2E9C-101B-9397-08002B2CF9AE}" pid="4" name="&lt;Type&gt;">
    <vt:lpwstr>RR</vt:lpwstr>
  </property>
</Properties>
</file>