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7C57" w14:paraId="64AE6FFD" w14:textId="77777777" w:rsidTr="0010095E">
        <w:trPr>
          <w:trHeight w:hRule="exact" w:val="1418"/>
        </w:trPr>
        <w:tc>
          <w:tcPr>
            <w:tcW w:w="6804" w:type="dxa"/>
            <w:shd w:val="clear" w:color="auto" w:fill="auto"/>
            <w:vAlign w:val="center"/>
          </w:tcPr>
          <w:p w14:paraId="2E7517DC" w14:textId="77777777" w:rsidR="00751A4A" w:rsidRPr="00317C57" w:rsidRDefault="006E4D6C" w:rsidP="0010095E">
            <w:pPr>
              <w:pStyle w:val="EPName"/>
            </w:pPr>
            <w:r w:rsidRPr="00317C57">
              <w:t>Europa-Parlamentet</w:t>
            </w:r>
          </w:p>
          <w:p w14:paraId="5D2123D8" w14:textId="77777777" w:rsidR="00751A4A" w:rsidRPr="00317C57" w:rsidRDefault="005F1B17" w:rsidP="005F1B17">
            <w:pPr>
              <w:pStyle w:val="EPTerm"/>
              <w:rPr>
                <w:rStyle w:val="HideTWBExt"/>
                <w:noProof w:val="0"/>
                <w:vanish w:val="0"/>
                <w:color w:val="auto"/>
              </w:rPr>
            </w:pPr>
            <w:r w:rsidRPr="00317C57">
              <w:t>2024</w:t>
            </w:r>
            <w:r w:rsidR="00817416" w:rsidRPr="00317C57">
              <w:t>-202</w:t>
            </w:r>
            <w:r w:rsidRPr="00317C57">
              <w:t>9</w:t>
            </w:r>
          </w:p>
        </w:tc>
        <w:tc>
          <w:tcPr>
            <w:tcW w:w="2268" w:type="dxa"/>
            <w:shd w:val="clear" w:color="auto" w:fill="auto"/>
          </w:tcPr>
          <w:p w14:paraId="5B68F5E6" w14:textId="77777777" w:rsidR="00751A4A" w:rsidRPr="00317C57" w:rsidRDefault="00187494" w:rsidP="0010095E">
            <w:pPr>
              <w:pStyle w:val="EPLogo"/>
            </w:pPr>
            <w:r w:rsidRPr="00317C57">
              <w:rPr>
                <w:noProof/>
                <w:lang w:eastAsia="ja-JP"/>
              </w:rPr>
              <w:drawing>
                <wp:inline distT="0" distB="0" distL="0" distR="0" wp14:anchorId="0EB8034A" wp14:editId="4462D5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0B2B48" w14:textId="77777777" w:rsidR="00D058B8" w:rsidRPr="00317C57" w:rsidRDefault="00D058B8" w:rsidP="004C5D52">
      <w:pPr>
        <w:pStyle w:val="LineTop"/>
      </w:pPr>
    </w:p>
    <w:p w14:paraId="2E8831FD" w14:textId="77777777" w:rsidR="00680577" w:rsidRPr="00317C57" w:rsidRDefault="006E4D6C" w:rsidP="00680577">
      <w:pPr>
        <w:pStyle w:val="EPBodyTA1"/>
      </w:pPr>
      <w:r w:rsidRPr="00317C57">
        <w:t>VEDTAGNE TEKSTER</w:t>
      </w:r>
    </w:p>
    <w:p w14:paraId="39F27FAB" w14:textId="77777777" w:rsidR="00D058B8" w:rsidRPr="00317C57" w:rsidRDefault="00D058B8" w:rsidP="00D058B8">
      <w:pPr>
        <w:pStyle w:val="LineBottom"/>
      </w:pPr>
    </w:p>
    <w:p w14:paraId="271884E9" w14:textId="3A12AB71" w:rsidR="006E4D6C" w:rsidRPr="00317C57" w:rsidRDefault="006E4D6C" w:rsidP="006E4D6C">
      <w:pPr>
        <w:pStyle w:val="ATHeading1"/>
      </w:pPr>
      <w:bookmarkStart w:id="0" w:name="TANumber"/>
      <w:r w:rsidRPr="00317C57">
        <w:t>P10_</w:t>
      </w:r>
      <w:proofErr w:type="gramStart"/>
      <w:r w:rsidRPr="00317C57">
        <w:t>TA(</w:t>
      </w:r>
      <w:proofErr w:type="gramEnd"/>
      <w:r w:rsidR="00433FE1">
        <w:t>2026</w:t>
      </w:r>
      <w:r w:rsidRPr="00317C57">
        <w:t>)00</w:t>
      </w:r>
      <w:r w:rsidR="005C0365">
        <w:t>3</w:t>
      </w:r>
      <w:r w:rsidRPr="00317C57">
        <w:t>0</w:t>
      </w:r>
      <w:bookmarkEnd w:id="0"/>
    </w:p>
    <w:p w14:paraId="72AFA48D" w14:textId="11CB4D3B" w:rsidR="006E4D6C" w:rsidRPr="00317C57" w:rsidRDefault="00974107" w:rsidP="00974107">
      <w:pPr>
        <w:pStyle w:val="ATHeading2"/>
      </w:pPr>
      <w:r w:rsidRPr="00317C57">
        <w:rPr>
          <w:bCs/>
        </w:rPr>
        <w:t xml:space="preserve">Bilateral beskyttelsesklausul i partnerskabsaftalen mellem EU og </w:t>
      </w:r>
      <w:proofErr w:type="spellStart"/>
      <w:r w:rsidRPr="00317C57">
        <w:rPr>
          <w:bCs/>
        </w:rPr>
        <w:t>Mercosur</w:t>
      </w:r>
      <w:proofErr w:type="spellEnd"/>
      <w:r w:rsidRPr="00317C57">
        <w:rPr>
          <w:bCs/>
        </w:rPr>
        <w:t xml:space="preserve"> og i interimsaftalen om handel med landbrugsprodukter mellem EU og </w:t>
      </w:r>
      <w:proofErr w:type="spellStart"/>
      <w:r w:rsidRPr="00317C57">
        <w:rPr>
          <w:bCs/>
        </w:rPr>
        <w:t>Mercosur</w:t>
      </w:r>
      <w:proofErr w:type="spellEnd"/>
    </w:p>
    <w:p w14:paraId="5748A11E" w14:textId="77777777" w:rsidR="006E4D6C" w:rsidRPr="00317C57" w:rsidRDefault="006E4D6C" w:rsidP="006E4D6C">
      <w:pPr>
        <w:rPr>
          <w:i/>
          <w:vanish/>
        </w:rPr>
      </w:pPr>
      <w:r w:rsidRPr="00317C57">
        <w:rPr>
          <w:i/>
        </w:rPr>
        <w:fldChar w:fldCharType="begin"/>
      </w:r>
      <w:r w:rsidRPr="00317C57">
        <w:rPr>
          <w:i/>
        </w:rPr>
        <w:instrText xml:space="preserve"> TC"(</w:instrText>
      </w:r>
      <w:bookmarkStart w:id="1" w:name="DocNumber"/>
      <w:r w:rsidRPr="00317C57">
        <w:rPr>
          <w:i/>
        </w:rPr>
        <w:instrText>A10-0254/2025</w:instrText>
      </w:r>
      <w:bookmarkEnd w:id="1"/>
      <w:r w:rsidRPr="00317C57">
        <w:rPr>
          <w:i/>
        </w:rPr>
        <w:instrText xml:space="preserve"> - Ordfører: Gabriel </w:instrText>
      </w:r>
      <w:proofErr w:type="spellStart"/>
      <w:r w:rsidRPr="00317C57">
        <w:rPr>
          <w:i/>
        </w:rPr>
        <w:instrText>Mato</w:instrText>
      </w:r>
      <w:proofErr w:type="spellEnd"/>
      <w:r w:rsidRPr="00317C57">
        <w:rPr>
          <w:i/>
        </w:rPr>
        <w:instrText xml:space="preserve">)"\l3 \n&gt; \* MERGEFORMAT </w:instrText>
      </w:r>
      <w:r w:rsidRPr="00317C57">
        <w:rPr>
          <w:i/>
        </w:rPr>
        <w:fldChar w:fldCharType="end"/>
      </w:r>
    </w:p>
    <w:p w14:paraId="1859EB52" w14:textId="77777777" w:rsidR="006E4D6C" w:rsidRPr="00317C57" w:rsidRDefault="006E4D6C" w:rsidP="006E4D6C">
      <w:pPr>
        <w:rPr>
          <w:vanish/>
        </w:rPr>
      </w:pPr>
      <w:bookmarkStart w:id="2" w:name="Commission"/>
      <w:r w:rsidRPr="00317C57">
        <w:rPr>
          <w:vanish/>
        </w:rPr>
        <w:t>Udvalget om International Handel</w:t>
      </w:r>
      <w:bookmarkEnd w:id="2"/>
    </w:p>
    <w:p w14:paraId="4CA56016" w14:textId="77777777" w:rsidR="006E4D6C" w:rsidRPr="00317C57" w:rsidRDefault="006E4D6C" w:rsidP="006E4D6C">
      <w:pPr>
        <w:rPr>
          <w:vanish/>
        </w:rPr>
      </w:pPr>
      <w:bookmarkStart w:id="3" w:name="PE"/>
      <w:r w:rsidRPr="00317C57">
        <w:rPr>
          <w:vanish/>
        </w:rPr>
        <w:t>PE779.615</w:t>
      </w:r>
      <w:bookmarkEnd w:id="3"/>
    </w:p>
    <w:p w14:paraId="7F6407C7" w14:textId="2F234743" w:rsidR="006E4D6C" w:rsidRPr="00317C57" w:rsidRDefault="006E4D6C" w:rsidP="006E4D6C">
      <w:pPr>
        <w:pStyle w:val="ATHeading3"/>
      </w:pPr>
      <w:bookmarkStart w:id="4" w:name="Sujet"/>
      <w:r w:rsidRPr="00317C57">
        <w:t xml:space="preserve">Europa-Parlamentets lovgivningsmæssige beslutning af </w:t>
      </w:r>
      <w:r w:rsidR="000F1A7A" w:rsidRPr="00317C57">
        <w:t>10. februar 2026</w:t>
      </w:r>
      <w:r w:rsidRPr="00317C57">
        <w:t xml:space="preserve"> om forslag til Europa-Parlamentets og Rådets forordning om iværksættelse af den bilaterale beskyttelsesklausul i partnerskabsaftalen mellem EU og </w:t>
      </w:r>
      <w:proofErr w:type="spellStart"/>
      <w:r w:rsidRPr="00317C57">
        <w:t>Mercosur</w:t>
      </w:r>
      <w:proofErr w:type="spellEnd"/>
      <w:r w:rsidRPr="00317C57">
        <w:t xml:space="preserve"> og i interimsaftalen om handel med landbrugsprodukter mellem EU og </w:t>
      </w:r>
      <w:proofErr w:type="spellStart"/>
      <w:r w:rsidRPr="00317C57">
        <w:t>Mercosur</w:t>
      </w:r>
      <w:bookmarkEnd w:id="4"/>
      <w:proofErr w:type="spellEnd"/>
      <w:r w:rsidRPr="00317C57">
        <w:t xml:space="preserve"> </w:t>
      </w:r>
      <w:bookmarkStart w:id="5" w:name="References"/>
      <w:r w:rsidRPr="00317C57">
        <w:t>(</w:t>
      </w:r>
      <w:proofErr w:type="gramStart"/>
      <w:r w:rsidRPr="00317C57">
        <w:t>COM(</w:t>
      </w:r>
      <w:proofErr w:type="gramEnd"/>
      <w:r w:rsidRPr="00317C57">
        <w:t>2025)0639 – C10-0247/2025 – 2025/0322(COD))</w:t>
      </w:r>
      <w:bookmarkEnd w:id="5"/>
    </w:p>
    <w:p w14:paraId="1AC93F5F" w14:textId="77777777" w:rsidR="00B14760" w:rsidRPr="00317C57" w:rsidRDefault="00B14760" w:rsidP="00B14760">
      <w:pPr>
        <w:pStyle w:val="NormalBold"/>
      </w:pPr>
      <w:r w:rsidRPr="00317C57">
        <w:t>(Almindelig lovgivningsprocedure: førstebehandling)</w:t>
      </w:r>
    </w:p>
    <w:p w14:paraId="3590F0A9" w14:textId="77777777" w:rsidR="00B14760" w:rsidRPr="00317C57" w:rsidRDefault="00B14760" w:rsidP="00B14760">
      <w:pPr>
        <w:pStyle w:val="EPComma"/>
      </w:pPr>
      <w:r w:rsidRPr="00317C57">
        <w:rPr>
          <w:i/>
        </w:rPr>
        <w:t>Europa-Parlamentet</w:t>
      </w:r>
      <w:r w:rsidRPr="00317C57">
        <w:t>,</w:t>
      </w:r>
    </w:p>
    <w:p w14:paraId="146D525F" w14:textId="390456D7" w:rsidR="00B14760" w:rsidRPr="00317C57" w:rsidRDefault="00053E84" w:rsidP="00B14760">
      <w:pPr>
        <w:pStyle w:val="NormalHanging12a"/>
      </w:pPr>
      <w:r w:rsidRPr="00317C57">
        <w:t>–</w:t>
      </w:r>
      <w:r w:rsidRPr="00317C57">
        <w:tab/>
      </w:r>
      <w:r w:rsidR="00B14760" w:rsidRPr="00317C57">
        <w:t>der henviser til Kommissionens forslag til Europa-Parlamentet og Rådet (</w:t>
      </w:r>
      <w:proofErr w:type="gramStart"/>
      <w:r w:rsidR="00B14760" w:rsidRPr="00317C57">
        <w:t>COM(</w:t>
      </w:r>
      <w:proofErr w:type="gramEnd"/>
      <w:r w:rsidR="00B14760" w:rsidRPr="00317C57">
        <w:t>2025)0639),</w:t>
      </w:r>
    </w:p>
    <w:p w14:paraId="40FDCB39" w14:textId="77777777" w:rsidR="00B14760" w:rsidRPr="00317C57" w:rsidRDefault="00B14760" w:rsidP="00B14760">
      <w:pPr>
        <w:pStyle w:val="NormalHanging12a"/>
      </w:pPr>
      <w:r w:rsidRPr="00317C57">
        <w:t>–</w:t>
      </w:r>
      <w:r w:rsidRPr="00317C57">
        <w:tab/>
        <w:t>der henviser til artikel 294, stk. 2, og artikel 207, stk. 2, i traktaten om Den Europæiske Unions funktionsmåde, på grundlag af hvilke Kommissionen har forelagt forslaget for Parlamentet (C10</w:t>
      </w:r>
      <w:r w:rsidRPr="00317C57">
        <w:noBreakHyphen/>
        <w:t>0247/2025),</w:t>
      </w:r>
    </w:p>
    <w:p w14:paraId="636A12D6" w14:textId="77777777" w:rsidR="00B14760" w:rsidRPr="00317C57" w:rsidRDefault="00B14760" w:rsidP="00B14760">
      <w:pPr>
        <w:pStyle w:val="NormalHanging12a"/>
      </w:pPr>
      <w:r w:rsidRPr="00317C57">
        <w:t>–</w:t>
      </w:r>
      <w:r w:rsidRPr="00317C57">
        <w:tab/>
        <w:t>der henviser til artikel 294, stk. 3, i traktaten om Den Europæiske Unions funktionsmåde,</w:t>
      </w:r>
    </w:p>
    <w:p w14:paraId="4236741A" w14:textId="1003982A" w:rsidR="000F1A7A" w:rsidRPr="00317C57" w:rsidRDefault="000F1A7A" w:rsidP="00B14760">
      <w:pPr>
        <w:pStyle w:val="NormalHanging12a"/>
      </w:pPr>
      <w:r w:rsidRPr="00317C57">
        <w:t>–</w:t>
      </w:r>
      <w:r w:rsidRPr="00317C57">
        <w:tab/>
      </w:r>
      <w:r w:rsidRPr="00317C57">
        <w:rPr>
          <w:noProof/>
          <w:szCs w:val="24"/>
        </w:rPr>
        <w:t>der henviser til, at det kompetente udvalg har godkendt den foreløbige aftale i henhold til forretningsordenens artikel 75, stk. 4, og at Rådets repræsentant ved skrivelse af 9. januar 2026 forpligtede sig til at godkende Europa-Parlamentets holdning, jf. artikel 294, stk. 4, i traktaten om Den Europæiske Unions funktionsmåde</w:t>
      </w:r>
      <w:r w:rsidRPr="00317C57">
        <w:t xml:space="preserve">, </w:t>
      </w:r>
    </w:p>
    <w:p w14:paraId="7761805E" w14:textId="77777777" w:rsidR="00B14760" w:rsidRPr="00317C57" w:rsidRDefault="00B14760" w:rsidP="00B14760">
      <w:pPr>
        <w:pStyle w:val="NormalHanging12a"/>
      </w:pPr>
      <w:r w:rsidRPr="00317C57">
        <w:t>–</w:t>
      </w:r>
      <w:r w:rsidRPr="00317C57">
        <w:tab/>
        <w:t>der henviser til forretningsordenens artikel 60,</w:t>
      </w:r>
    </w:p>
    <w:p w14:paraId="7286942D" w14:textId="54D514AB" w:rsidR="00B14760" w:rsidRPr="00317C57" w:rsidRDefault="00B14760" w:rsidP="00B14760">
      <w:pPr>
        <w:pStyle w:val="NormalHanging12a"/>
      </w:pPr>
      <w:r w:rsidRPr="00317C57">
        <w:t>–</w:t>
      </w:r>
      <w:r w:rsidRPr="00317C57">
        <w:tab/>
        <w:t>der henviser til betænkning fra Udvalget om International Handel (A10-0254/2025),</w:t>
      </w:r>
    </w:p>
    <w:p w14:paraId="2FEF7045" w14:textId="2442D4E2" w:rsidR="00B14760" w:rsidRPr="00317C57" w:rsidRDefault="00B14760" w:rsidP="00B14760">
      <w:pPr>
        <w:pStyle w:val="NormalHanging12a"/>
      </w:pPr>
      <w:r w:rsidRPr="00317C57">
        <w:lastRenderedPageBreak/>
        <w:t>1.</w:t>
      </w:r>
      <w:r w:rsidRPr="00317C57">
        <w:tab/>
        <w:t>vedtager nedenstående holdning ved førstebehandling</w:t>
      </w:r>
      <w:r w:rsidR="0085716C" w:rsidRPr="00317C57">
        <w:rPr>
          <w:rStyle w:val="FootnoteReference"/>
        </w:rPr>
        <w:footnoteReference w:id="1"/>
      </w:r>
      <w:r w:rsidRPr="00317C57">
        <w:t>;</w:t>
      </w:r>
    </w:p>
    <w:p w14:paraId="0C27E2DE" w14:textId="0BE1FC60" w:rsidR="00A46A1B" w:rsidRPr="00433FE1" w:rsidRDefault="000F1A7A" w:rsidP="00B14760">
      <w:pPr>
        <w:pStyle w:val="NormalHanging12a"/>
        <w:rPr>
          <w:bCs/>
          <w:i/>
        </w:rPr>
      </w:pPr>
      <w:r w:rsidRPr="00433FE1">
        <w:rPr>
          <w:bCs/>
          <w:iCs/>
        </w:rPr>
        <w:t>2</w:t>
      </w:r>
      <w:r w:rsidR="00A46A1B" w:rsidRPr="00433FE1">
        <w:rPr>
          <w:bCs/>
          <w:iCs/>
        </w:rPr>
        <w:t xml:space="preserve">. </w:t>
      </w:r>
      <w:r w:rsidR="00A46A1B" w:rsidRPr="00433FE1">
        <w:rPr>
          <w:bCs/>
          <w:iCs/>
        </w:rPr>
        <w:tab/>
        <w:t xml:space="preserve">noterer sig Kommissionens erklæring, der er vedføjet som bilag til denne beslutning, til efterretning, og som vil blive offentliggjort i C-udgaven af </w:t>
      </w:r>
      <w:r w:rsidR="00A46A1B" w:rsidRPr="00433FE1">
        <w:rPr>
          <w:bCs/>
          <w:i/>
        </w:rPr>
        <w:t>Den Europæiske Unions Tidende;</w:t>
      </w:r>
    </w:p>
    <w:p w14:paraId="0FB2CC87" w14:textId="4BA9FCDA" w:rsidR="00B14760" w:rsidRPr="00317C57" w:rsidRDefault="000F1A7A" w:rsidP="00B14760">
      <w:pPr>
        <w:pStyle w:val="NormalHanging12a"/>
      </w:pPr>
      <w:r w:rsidRPr="00317C57">
        <w:t>3</w:t>
      </w:r>
      <w:r w:rsidR="00B14760" w:rsidRPr="00317C57">
        <w:t>.</w:t>
      </w:r>
      <w:r w:rsidR="00B14760" w:rsidRPr="00317C57">
        <w:tab/>
        <w:t>anmoder om fornyet forelæggelse, hvis Kommissionen erstatter, i væsentlig grad ændrer eller agter i væsentlig grad at ændre sit forslag;</w:t>
      </w:r>
    </w:p>
    <w:p w14:paraId="0B0595E5" w14:textId="53561168" w:rsidR="000F1A7A" w:rsidRPr="00317C57" w:rsidRDefault="000F1A7A" w:rsidP="00AA368B">
      <w:pPr>
        <w:autoSpaceDE w:val="0"/>
        <w:autoSpaceDN w:val="0"/>
        <w:adjustRightInd w:val="0"/>
        <w:spacing w:after="240"/>
        <w:ind w:left="720" w:hanging="720"/>
        <w:sectPr w:rsidR="000F1A7A" w:rsidRPr="00317C57" w:rsidSect="000D4D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317C57">
        <w:t>4</w:t>
      </w:r>
      <w:r w:rsidR="00B14760" w:rsidRPr="00317C57">
        <w:t>.</w:t>
      </w:r>
      <w:r w:rsidR="00B14760" w:rsidRPr="00317C57">
        <w:tab/>
        <w:t>pålægger sin formand at sende Parlamentets holdning til Rådet og Kommissionen samt til de nationale parlamenter.</w:t>
      </w:r>
    </w:p>
    <w:p w14:paraId="7AAFE3C9" w14:textId="2EB16AB8" w:rsidR="000F1A7A" w:rsidRPr="00317C57" w:rsidRDefault="000F1A7A" w:rsidP="00AA368B">
      <w:pPr>
        <w:autoSpaceDE w:val="0"/>
        <w:autoSpaceDN w:val="0"/>
        <w:adjustRightInd w:val="0"/>
        <w:spacing w:after="240"/>
        <w:ind w:left="720" w:hanging="720"/>
        <w:rPr>
          <w:rFonts w:eastAsia="Calibri"/>
          <w:b/>
          <w:bCs/>
          <w:color w:val="000000"/>
          <w:szCs w:val="24"/>
        </w:rPr>
      </w:pPr>
      <w:r w:rsidRPr="00317C57">
        <w:rPr>
          <w:rFonts w:eastAsia="Calibri"/>
          <w:b/>
          <w:bCs/>
          <w:color w:val="000000"/>
          <w:szCs w:val="24"/>
        </w:rPr>
        <w:lastRenderedPageBreak/>
        <w:t>P10_TC1-</w:t>
      </w:r>
      <w:proofErr w:type="gramStart"/>
      <w:r w:rsidRPr="00317C57">
        <w:rPr>
          <w:rFonts w:eastAsia="Calibri"/>
          <w:b/>
          <w:bCs/>
          <w:color w:val="000000"/>
          <w:szCs w:val="24"/>
        </w:rPr>
        <w:t>COD(</w:t>
      </w:r>
      <w:proofErr w:type="gramEnd"/>
      <w:r w:rsidRPr="00317C57">
        <w:rPr>
          <w:rFonts w:eastAsia="Calibri"/>
          <w:b/>
          <w:bCs/>
          <w:color w:val="000000"/>
          <w:szCs w:val="24"/>
        </w:rPr>
        <w:t>2025)0322</w:t>
      </w:r>
    </w:p>
    <w:p w14:paraId="48C28BA8" w14:textId="5912A364" w:rsidR="000F1A7A" w:rsidRPr="00317C57" w:rsidRDefault="000F1A7A" w:rsidP="00AA368B">
      <w:pPr>
        <w:pStyle w:val="NormalHanging12a"/>
        <w:ind w:left="0" w:firstLine="0"/>
        <w:rPr>
          <w:rFonts w:eastAsiaTheme="minorHAnsi"/>
          <w:b/>
          <w:noProof/>
          <w:color w:val="000000"/>
          <w:szCs w:val="22"/>
          <w:lang w:eastAsia="en-US"/>
        </w:rPr>
      </w:pPr>
      <w:r w:rsidRPr="00317C57">
        <w:rPr>
          <w:b/>
        </w:rPr>
        <w:t xml:space="preserve">Europa-Parlamentets holdning fastlagt ved førstebehandlingen den 10. februar 2026 med henblik på vedtagelse af Europa-Parlamentets og Rådets </w:t>
      </w:r>
      <w:r w:rsidRPr="00317C57">
        <w:rPr>
          <w:rFonts w:eastAsia="Calibri"/>
          <w:b/>
        </w:rPr>
        <w:t xml:space="preserve">forordning </w:t>
      </w:r>
      <w:r w:rsidRPr="00317C57">
        <w:rPr>
          <w:b/>
        </w:rPr>
        <w:t xml:space="preserve">(EU) </w:t>
      </w:r>
      <w:r w:rsidRPr="00317C57">
        <w:rPr>
          <w:rFonts w:eastAsia="Calibri"/>
          <w:b/>
        </w:rPr>
        <w:t xml:space="preserve">2026/… om </w:t>
      </w:r>
      <w:r w:rsidRPr="00317C57">
        <w:rPr>
          <w:rFonts w:eastAsiaTheme="minorHAnsi"/>
          <w:b/>
          <w:noProof/>
          <w:color w:val="000000"/>
          <w:szCs w:val="22"/>
          <w:lang w:eastAsia="en-US"/>
        </w:rPr>
        <w:t>iværksættelse af de bilaterale beskyttelsesklausuler i partnerskabsaftalen mellem EU og Mercosur og i interimsaftalen om handel mellem EU og Mercosur for landbrugsprodukter</w:t>
      </w:r>
    </w:p>
    <w:p w14:paraId="2C82B5E1" w14:textId="2B7330A7" w:rsidR="000F1A7A" w:rsidRPr="00317C57" w:rsidRDefault="00AE0645" w:rsidP="00AA368B">
      <w:pPr>
        <w:pStyle w:val="NormalHanging12a"/>
        <w:ind w:left="0" w:firstLine="0"/>
        <w:rPr>
          <w:rFonts w:eastAsia="Calibri"/>
          <w:b/>
        </w:rPr>
      </w:pPr>
      <w:r w:rsidRPr="00DC166C">
        <w:rPr>
          <w:i/>
        </w:rPr>
        <w:t xml:space="preserve">(Eftersom der var indgået en aftale mellem Parlamentet og Rådet, svarer Parlamentets holdning til den endelige </w:t>
      </w:r>
      <w:r w:rsidRPr="00AE0645">
        <w:rPr>
          <w:i/>
        </w:rPr>
        <w:t>retsakt, forordning (EU) 2026/687.)</w:t>
      </w:r>
    </w:p>
    <w:p w14:paraId="165334DE" w14:textId="77777777" w:rsidR="00AE0645" w:rsidRDefault="00AE0645">
      <w:pPr>
        <w:widowControl/>
        <w:sectPr w:rsidR="00AE0645" w:rsidSect="000D4DF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AF1566" w14:textId="15CEB0D3" w:rsidR="001B50AB" w:rsidRPr="00317C57" w:rsidRDefault="001B50AB" w:rsidP="001B50AB">
      <w:pPr>
        <w:jc w:val="right"/>
      </w:pPr>
      <w:r w:rsidRPr="00317C57">
        <w:lastRenderedPageBreak/>
        <w:t>BILAG TIL DEN LOVGIVNINGSMÆSSIGE BESLUTNING</w:t>
      </w:r>
    </w:p>
    <w:p w14:paraId="174FACE8" w14:textId="77777777" w:rsidR="00A46A1B" w:rsidRPr="00317C57" w:rsidRDefault="00A46A1B" w:rsidP="00573675"/>
    <w:p w14:paraId="78389028" w14:textId="69EE08CD" w:rsidR="00A46A1B" w:rsidRPr="00317C57" w:rsidRDefault="00A46A1B" w:rsidP="00A46A1B">
      <w:pPr>
        <w:spacing w:after="200" w:line="276" w:lineRule="auto"/>
        <w:rPr>
          <w:b/>
          <w:bCs/>
          <w:noProof/>
          <w:lang w:bidi="da-DK"/>
        </w:rPr>
      </w:pPr>
      <w:r w:rsidRPr="00317C57">
        <w:rPr>
          <w:b/>
          <w:noProof/>
          <w:lang w:bidi="da-DK"/>
        </w:rPr>
        <w:t>Kommissionens erklæring om produktionsstandarder, der gælder for importerede landbrugsfødevarer og SPS-kontroller i forbindelse med vedtagelsen af forordning (EU) 2026/</w:t>
      </w:r>
      <w:r w:rsidR="00AE0645">
        <w:rPr>
          <w:b/>
          <w:noProof/>
          <w:lang w:bidi="da-DK"/>
        </w:rPr>
        <w:t>687</w:t>
      </w:r>
      <w:r w:rsidR="00AE0645">
        <w:rPr>
          <w:rStyle w:val="FootnoteReference"/>
          <w:b/>
          <w:noProof/>
          <w:lang w:bidi="da-DK"/>
        </w:rPr>
        <w:footnoteReference w:id="2"/>
      </w:r>
    </w:p>
    <w:p w14:paraId="2CFF3DA7" w14:textId="77777777" w:rsidR="00A46A1B" w:rsidRPr="00317C57" w:rsidRDefault="00A46A1B" w:rsidP="00A46A1B">
      <w:pPr>
        <w:spacing w:after="200" w:line="276" w:lineRule="auto"/>
        <w:rPr>
          <w:noProof/>
          <w:lang w:bidi="da-DK"/>
        </w:rPr>
      </w:pPr>
      <w:r w:rsidRPr="00317C57">
        <w:rPr>
          <w:noProof/>
          <w:lang w:bidi="da-DK"/>
        </w:rPr>
        <w:t>Kommissionen meddelte i sin vision for landbrug og fødevarer, at den har til hensigt at tilstræbe en tilpasning af de produktionsstandarder, der gælder for importerede varer, navnlig for så vidt angår dyrevelfærd og pesticider.</w:t>
      </w:r>
    </w:p>
    <w:p w14:paraId="56ECF187" w14:textId="77777777" w:rsidR="00A46A1B" w:rsidRPr="00317C57" w:rsidRDefault="00A46A1B" w:rsidP="00A46A1B">
      <w:pPr>
        <w:spacing w:after="200" w:line="276" w:lineRule="auto"/>
        <w:rPr>
          <w:noProof/>
          <w:lang w:bidi="da-DK"/>
        </w:rPr>
      </w:pPr>
      <w:r w:rsidRPr="00317C57">
        <w:rPr>
          <w:noProof/>
          <w:lang w:bidi="da-DK"/>
        </w:rPr>
        <w:t>Hvad angår pesticider omfatter visionen for landbrug og fødevarer princippet om, at det ikke bør tillades, at de farligste pesticider, der er forbudt i EU af sundheds- og miljømæssige årsager, igen kommer ind i EU gennem importerede varer, og visionen sigter mod at undgå konkurrencemæssige ulemper for EU's landbrugere og landbrugsfødevaresektoren, samtidig med at man imødekommer forbrugernes forventninger. For at fremskynde sagen lancerede Kommissionen en undersøgelse den 25. november 2025 med henblik på at forberede en konsekvensanalyse til behandling af virkningerne af denne tilgang. I lyset af disse resultater, og for så vidt som det er hensigtsmæssigt, vil kommissionen foreslå ændringer af den gældende retlige ramme. Den indledende undersøgelse forventes afsluttet i sommeren 2026, og derefter følger de næste trin i konsekvensanalysen. EU's eksisterende lovgivning beskytter allerede forbrugerne og sikrer, at alle fødevarer, der markedsføres, opfylder vores høje sundheds- og sikkerhedsstandarder, men Kommissionen er fortsat fast besluttet på at tilstræbe en tættere tilpasning af de produktionsstandarder, der gælder for importerede varer, for at sikre lige vilkår for vores landbrugere og producenter og opretholde forbrugerbeskyttelsen.</w:t>
      </w:r>
    </w:p>
    <w:p w14:paraId="5AFABB48" w14:textId="7D7A1C44" w:rsidR="00A46A1B" w:rsidRPr="00317C57" w:rsidRDefault="00A46A1B" w:rsidP="00A46A1B">
      <w:pPr>
        <w:spacing w:after="200" w:line="276" w:lineRule="auto"/>
        <w:rPr>
          <w:noProof/>
          <w:lang w:bidi="da-DK"/>
        </w:rPr>
      </w:pPr>
      <w:r w:rsidRPr="00317C57">
        <w:rPr>
          <w:noProof/>
          <w:lang w:bidi="da-DK"/>
        </w:rPr>
        <w:t xml:space="preserve">I mellemtiden har Kommissionen i forslaget til forenklingspakken for fødevaresikkerhed af 16. december </w:t>
      </w:r>
      <w:r w:rsidR="001B50AB" w:rsidRPr="00317C57">
        <w:rPr>
          <w:noProof/>
          <w:lang w:bidi="da-DK"/>
        </w:rPr>
        <w:t xml:space="preserve">2025 </w:t>
      </w:r>
      <w:r w:rsidRPr="00317C57">
        <w:rPr>
          <w:noProof/>
          <w:lang w:bidi="da-DK"/>
        </w:rPr>
        <w:t>foreslået at ændre den nuværende lovgivning for at fastsætte, at maksimalgrænseværdier for restkoncentrationer (MRL'er) for stoffer, der ikke er godkendt i Unionen, og som har visse særligt farlige egenskaber, kan fastsættes til nul, hvis det anses for hensigtsmæssigt på grundlag af resultatet af en konsekvensanalyse.</w:t>
      </w:r>
    </w:p>
    <w:p w14:paraId="5FEFA0EE" w14:textId="77777777" w:rsidR="00A46A1B" w:rsidRPr="00317C57" w:rsidRDefault="00A46A1B" w:rsidP="00A46A1B">
      <w:pPr>
        <w:spacing w:after="200" w:line="276" w:lineRule="auto"/>
        <w:rPr>
          <w:noProof/>
          <w:lang w:bidi="da-DK"/>
        </w:rPr>
      </w:pPr>
      <w:r w:rsidRPr="00317C57">
        <w:rPr>
          <w:noProof/>
          <w:lang w:bidi="da-DK"/>
        </w:rPr>
        <w:t>Med hensyn til dyrevelfærd afsluttede Kommissionen den 17. december 2025 en offentlig høring om revisionen af EU-lovgivningen om dyrevelfærd på bedriften for visse dyr, herunder om, hvorvidt og i hvilket omfang der bør gælde tilsvarende dyrevelfærdsstandarder for import af dyr og animalske produkter. Efter konsekvensanalysen vil Kommissionen gå videre med de relevante forslag.</w:t>
      </w:r>
    </w:p>
    <w:p w14:paraId="06FDBA42" w14:textId="421DAA9E" w:rsidR="00A46A1B" w:rsidRPr="00A46A1B" w:rsidRDefault="00A46A1B" w:rsidP="00A46A1B">
      <w:pPr>
        <w:widowControl/>
        <w:rPr>
          <w:szCs w:val="24"/>
        </w:rPr>
      </w:pPr>
      <w:r w:rsidRPr="00317C57">
        <w:rPr>
          <w:noProof/>
          <w:lang w:bidi="da-DK"/>
        </w:rPr>
        <w:t xml:space="preserve">Med hensyn til importkontrol meddelte Kommissionen den 9. december 2025, at den har planer om at intensivere og forbedre de kontroller, der udføres direkte på stedet i alle tredjelande, herunder import af fødevarer fra Mercosur-landene. Kommissionen vil øge sine eksportrelaterede kontroller i lande uden for EU med 50 % i løbet af de næste 2 år fra den 1. januar 2026. Kommissionen vil også intensivere overvågningen af varer og lande, der ikke overholder reglerne, og tilpasse kontrolhyppigheden heraf tilsvarende. Desuden vil Kommissionen styrke kontrolniveauet i EU, navnlig ved de vigtigste indgangssteder. I den forbindelse vil Kommissionen foretage et større antal kontroller i medlemsstaterne for at </w:t>
      </w:r>
      <w:r w:rsidRPr="00317C57">
        <w:rPr>
          <w:noProof/>
          <w:lang w:bidi="da-DK"/>
        </w:rPr>
        <w:lastRenderedPageBreak/>
        <w:t>sikre, at kontrollen ved grænserne fuldt ud overholder EU's standarder, og yde støtte til medlemsstaterne, så de kan foretage disse kontroller korrekt. For at gøre importkontrollen mere effektiv vil Kommissionen oprette en særlig EU-taskforce, som navnlig vil fokusere på pesticidrester, fødevare- og fodersikkerhed og dyrevelfærd, og den vil overveje en koordineret EU-overvågningsindsats for importerede varer.</w:t>
      </w:r>
    </w:p>
    <w:sectPr w:rsidR="00A46A1B" w:rsidRPr="00A46A1B" w:rsidSect="000D4D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F9202" w14:textId="77777777" w:rsidR="006E4D6C" w:rsidRPr="000D4DFA" w:rsidRDefault="006E4D6C">
      <w:r w:rsidRPr="000D4DFA">
        <w:separator/>
      </w:r>
    </w:p>
  </w:endnote>
  <w:endnote w:type="continuationSeparator" w:id="0">
    <w:p w14:paraId="060C6707" w14:textId="77777777" w:rsidR="006E4D6C" w:rsidRPr="000D4DFA" w:rsidRDefault="006E4D6C">
      <w:r w:rsidRPr="000D4D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0FFAD" w14:textId="77777777" w:rsidR="00064002" w:rsidRPr="000D4DF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E8E97" w14:textId="77777777" w:rsidR="00064002" w:rsidRPr="000D4DF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4125" w14:textId="77777777" w:rsidR="00064002" w:rsidRPr="000D4D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3E32A" w14:textId="77777777" w:rsidR="006E4D6C" w:rsidRPr="000D4DFA" w:rsidRDefault="006E4D6C">
      <w:r w:rsidRPr="000D4DFA">
        <w:separator/>
      </w:r>
    </w:p>
  </w:footnote>
  <w:footnote w:type="continuationSeparator" w:id="0">
    <w:p w14:paraId="2D37113F" w14:textId="77777777" w:rsidR="006E4D6C" w:rsidRPr="000D4DFA" w:rsidRDefault="006E4D6C">
      <w:r w:rsidRPr="000D4DFA">
        <w:continuationSeparator/>
      </w:r>
    </w:p>
  </w:footnote>
  <w:footnote w:id="1">
    <w:p w14:paraId="382D420F" w14:textId="17A5FF20" w:rsidR="0085716C" w:rsidRPr="001F1921" w:rsidRDefault="0085716C" w:rsidP="0085716C">
      <w:pPr>
        <w:pStyle w:val="FootnoteText"/>
        <w:ind w:left="567" w:hanging="567"/>
        <w:rPr>
          <w:sz w:val="24"/>
          <w:szCs w:val="24"/>
          <w:lang w:val="da-DK"/>
        </w:rPr>
      </w:pPr>
      <w:r w:rsidRPr="001F1921">
        <w:rPr>
          <w:rStyle w:val="FootnoteReference"/>
          <w:sz w:val="24"/>
          <w:szCs w:val="24"/>
        </w:rPr>
        <w:footnoteRef/>
      </w:r>
      <w:r w:rsidRPr="001F1921">
        <w:rPr>
          <w:sz w:val="24"/>
          <w:szCs w:val="24"/>
          <w:lang w:val="da-DK"/>
        </w:rPr>
        <w:t xml:space="preserve"> </w:t>
      </w:r>
      <w:r w:rsidRPr="001F1921">
        <w:rPr>
          <w:sz w:val="24"/>
          <w:szCs w:val="24"/>
          <w:lang w:val="da-DK"/>
        </w:rPr>
        <w:tab/>
        <w:t xml:space="preserve">Denne holdning erstatter de ændringer, der blev vedtaget den </w:t>
      </w:r>
      <w:r>
        <w:rPr>
          <w:sz w:val="24"/>
          <w:szCs w:val="24"/>
          <w:lang w:val="da-DK"/>
        </w:rPr>
        <w:t>16. december</w:t>
      </w:r>
      <w:r w:rsidRPr="001F1921">
        <w:rPr>
          <w:sz w:val="24"/>
          <w:szCs w:val="24"/>
          <w:lang w:val="da-DK"/>
        </w:rPr>
        <w:t xml:space="preserve"> 202</w:t>
      </w:r>
      <w:r>
        <w:rPr>
          <w:sz w:val="24"/>
          <w:szCs w:val="24"/>
          <w:lang w:val="da-DK"/>
        </w:rPr>
        <w:t>5</w:t>
      </w:r>
      <w:r w:rsidRPr="001F1921">
        <w:rPr>
          <w:sz w:val="24"/>
          <w:szCs w:val="24"/>
          <w:lang w:val="da-DK"/>
        </w:rPr>
        <w:t xml:space="preserve"> (Vedtagne tekster, P</w:t>
      </w:r>
      <w:r>
        <w:rPr>
          <w:sz w:val="24"/>
          <w:szCs w:val="24"/>
          <w:lang w:val="da-DK"/>
        </w:rPr>
        <w:t>10</w:t>
      </w:r>
      <w:r w:rsidRPr="001F1921">
        <w:rPr>
          <w:sz w:val="24"/>
          <w:szCs w:val="24"/>
          <w:lang w:val="da-DK"/>
        </w:rPr>
        <w:t>_</w:t>
      </w:r>
      <w:proofErr w:type="gramStart"/>
      <w:r w:rsidRPr="001F1921">
        <w:rPr>
          <w:sz w:val="24"/>
          <w:szCs w:val="24"/>
          <w:lang w:val="da-DK"/>
        </w:rPr>
        <w:t>TA(</w:t>
      </w:r>
      <w:proofErr w:type="gramEnd"/>
      <w:r>
        <w:rPr>
          <w:sz w:val="24"/>
          <w:szCs w:val="24"/>
          <w:lang w:val="da-DK"/>
        </w:rPr>
        <w:t>2025</w:t>
      </w:r>
      <w:r w:rsidRPr="001F1921">
        <w:rPr>
          <w:sz w:val="24"/>
          <w:szCs w:val="24"/>
          <w:lang w:val="da-DK"/>
        </w:rPr>
        <w:t>)</w:t>
      </w:r>
      <w:r w:rsidRPr="00317C57">
        <w:rPr>
          <w:sz w:val="24"/>
          <w:szCs w:val="24"/>
          <w:lang w:val="da-DK"/>
        </w:rPr>
        <w:t>0</w:t>
      </w:r>
      <w:r>
        <w:rPr>
          <w:sz w:val="24"/>
          <w:szCs w:val="24"/>
          <w:lang w:val="da-DK"/>
        </w:rPr>
        <w:t>315</w:t>
      </w:r>
      <w:r w:rsidRPr="001F1921">
        <w:rPr>
          <w:sz w:val="24"/>
          <w:szCs w:val="24"/>
          <w:lang w:val="da-DK"/>
        </w:rPr>
        <w:t>)</w:t>
      </w:r>
      <w:r>
        <w:rPr>
          <w:sz w:val="24"/>
          <w:szCs w:val="24"/>
          <w:lang w:val="da-DK"/>
        </w:rPr>
        <w:t>.</w:t>
      </w:r>
    </w:p>
  </w:footnote>
  <w:footnote w:id="2">
    <w:p w14:paraId="3F09D0EB" w14:textId="02D96B17" w:rsidR="00AE0645" w:rsidRPr="00593EF2" w:rsidRDefault="00AE0645" w:rsidP="00AE0645">
      <w:pPr>
        <w:pStyle w:val="FootnoteText"/>
        <w:ind w:left="851" w:hanging="851"/>
        <w:rPr>
          <w:sz w:val="24"/>
          <w:szCs w:val="22"/>
          <w:lang w:val="fr-BE"/>
        </w:rPr>
      </w:pPr>
      <w:r w:rsidRPr="00593EF2">
        <w:rPr>
          <w:rStyle w:val="FootnoteReference"/>
          <w:sz w:val="24"/>
          <w:szCs w:val="22"/>
        </w:rPr>
        <w:footnoteRef/>
      </w:r>
      <w:r w:rsidRPr="00593EF2">
        <w:rPr>
          <w:sz w:val="24"/>
          <w:szCs w:val="22"/>
        </w:rPr>
        <w:t xml:space="preserve"> </w:t>
      </w:r>
      <w:r w:rsidRPr="00593EF2">
        <w:rPr>
          <w:sz w:val="24"/>
          <w:szCs w:val="22"/>
          <w:lang w:val="fr-BE"/>
        </w:rPr>
        <w:tab/>
        <w:t xml:space="preserve">EUT L, 2026/687, 19.3.2026, </w:t>
      </w:r>
      <w:proofErr w:type="gramStart"/>
      <w:r w:rsidRPr="00593EF2">
        <w:rPr>
          <w:sz w:val="24"/>
          <w:szCs w:val="22"/>
          <w:lang w:val="fr-BE"/>
        </w:rPr>
        <w:t>ELI:</w:t>
      </w:r>
      <w:proofErr w:type="gramEnd"/>
      <w:r w:rsidRPr="00593EF2">
        <w:rPr>
          <w:sz w:val="24"/>
          <w:szCs w:val="22"/>
          <w:lang w:val="fr-BE"/>
        </w:rPr>
        <w:t xml:space="preserve"> </w:t>
      </w:r>
      <w:hyperlink r:id="rId1" w:history="1">
        <w:r w:rsidRPr="00593EF2">
          <w:rPr>
            <w:rStyle w:val="Hyperlink"/>
            <w:sz w:val="24"/>
            <w:szCs w:val="22"/>
            <w:lang w:val="fr-BE"/>
          </w:rPr>
          <w:t>http://data.europa.eu/eli/reg/2026/687/oj</w:t>
        </w:r>
      </w:hyperlink>
      <w:r w:rsidRPr="00593EF2">
        <w:rPr>
          <w:sz w:val="24"/>
          <w:szCs w:val="22"/>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1385" w14:textId="77777777" w:rsidR="00064002" w:rsidRPr="000D4D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281E" w14:textId="77777777" w:rsidR="00064002" w:rsidRPr="000D4D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D389C" w14:textId="77777777" w:rsidR="00064002" w:rsidRPr="000D4D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7843635">
    <w:abstractNumId w:val="9"/>
  </w:num>
  <w:num w:numId="2" w16cid:durableId="34740025">
    <w:abstractNumId w:val="9"/>
  </w:num>
  <w:num w:numId="3" w16cid:durableId="952441608">
    <w:abstractNumId w:val="7"/>
  </w:num>
  <w:num w:numId="4" w16cid:durableId="2099709721">
    <w:abstractNumId w:val="7"/>
  </w:num>
  <w:num w:numId="5" w16cid:durableId="1422989886">
    <w:abstractNumId w:val="6"/>
  </w:num>
  <w:num w:numId="6" w16cid:durableId="747846071">
    <w:abstractNumId w:val="6"/>
  </w:num>
  <w:num w:numId="7" w16cid:durableId="1161576334">
    <w:abstractNumId w:val="5"/>
  </w:num>
  <w:num w:numId="8" w16cid:durableId="25297148">
    <w:abstractNumId w:val="5"/>
  </w:num>
  <w:num w:numId="9" w16cid:durableId="1091004479">
    <w:abstractNumId w:val="4"/>
  </w:num>
  <w:num w:numId="10" w16cid:durableId="741290105">
    <w:abstractNumId w:val="4"/>
  </w:num>
  <w:num w:numId="11" w16cid:durableId="1365055482">
    <w:abstractNumId w:val="8"/>
  </w:num>
  <w:num w:numId="12" w16cid:durableId="1573126320">
    <w:abstractNumId w:val="8"/>
  </w:num>
  <w:num w:numId="13" w16cid:durableId="1401639772">
    <w:abstractNumId w:val="3"/>
  </w:num>
  <w:num w:numId="14" w16cid:durableId="1623534256">
    <w:abstractNumId w:val="3"/>
  </w:num>
  <w:num w:numId="15" w16cid:durableId="1378628324">
    <w:abstractNumId w:val="2"/>
  </w:num>
  <w:num w:numId="16" w16cid:durableId="784428806">
    <w:abstractNumId w:val="2"/>
  </w:num>
  <w:num w:numId="17" w16cid:durableId="1568304142">
    <w:abstractNumId w:val="1"/>
  </w:num>
  <w:num w:numId="18" w16cid:durableId="1545557628">
    <w:abstractNumId w:val="1"/>
  </w:num>
  <w:num w:numId="19" w16cid:durableId="1009409319">
    <w:abstractNumId w:val="0"/>
  </w:num>
  <w:num w:numId="20" w16cid:durableId="1004019516">
    <w:abstractNumId w:val="0"/>
  </w:num>
  <w:num w:numId="21" w16cid:durableId="441413103">
    <w:abstractNumId w:val="9"/>
  </w:num>
  <w:num w:numId="22" w16cid:durableId="1881362100">
    <w:abstractNumId w:val="7"/>
  </w:num>
  <w:num w:numId="23" w16cid:durableId="883523173">
    <w:abstractNumId w:val="6"/>
  </w:num>
  <w:num w:numId="24" w16cid:durableId="63182772">
    <w:abstractNumId w:val="5"/>
  </w:num>
  <w:num w:numId="25" w16cid:durableId="792789373">
    <w:abstractNumId w:val="4"/>
  </w:num>
  <w:num w:numId="26" w16cid:durableId="286935927">
    <w:abstractNumId w:val="8"/>
  </w:num>
  <w:num w:numId="27" w16cid:durableId="1858032638">
    <w:abstractNumId w:val="3"/>
  </w:num>
  <w:num w:numId="28" w16cid:durableId="823164800">
    <w:abstractNumId w:val="2"/>
  </w:num>
  <w:num w:numId="29" w16cid:durableId="1629628814">
    <w:abstractNumId w:val="1"/>
  </w:num>
  <w:num w:numId="30" w16cid:durableId="25758280">
    <w:abstractNumId w:val="0"/>
  </w:num>
  <w:num w:numId="31" w16cid:durableId="1905529558">
    <w:abstractNumId w:val="9"/>
  </w:num>
  <w:num w:numId="32" w16cid:durableId="165293996">
    <w:abstractNumId w:val="7"/>
  </w:num>
  <w:num w:numId="33" w16cid:durableId="867642781">
    <w:abstractNumId w:val="6"/>
  </w:num>
  <w:num w:numId="34" w16cid:durableId="1554656946">
    <w:abstractNumId w:val="5"/>
  </w:num>
  <w:num w:numId="35" w16cid:durableId="435909837">
    <w:abstractNumId w:val="4"/>
  </w:num>
  <w:num w:numId="36" w16cid:durableId="1761951867">
    <w:abstractNumId w:val="8"/>
  </w:num>
  <w:num w:numId="37" w16cid:durableId="600915166">
    <w:abstractNumId w:val="3"/>
  </w:num>
  <w:num w:numId="38" w16cid:durableId="1069424473">
    <w:abstractNumId w:val="2"/>
  </w:num>
  <w:num w:numId="39" w16cid:durableId="976304766">
    <w:abstractNumId w:val="1"/>
  </w:num>
  <w:num w:numId="40" w16cid:durableId="1577981860">
    <w:abstractNumId w:val="0"/>
  </w:num>
  <w:num w:numId="41" w16cid:durableId="1603223250">
    <w:abstractNumId w:val="10"/>
  </w:num>
  <w:num w:numId="42" w16cid:durableId="1587376318">
    <w:abstractNumId w:val="10"/>
  </w:num>
  <w:num w:numId="43" w16cid:durableId="1027221405">
    <w:abstractNumId w:val="10"/>
  </w:num>
  <w:num w:numId="44" w16cid:durableId="12897017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DA"/>
    <w:docVar w:name="dvnumam" w:val="24"/>
    <w:docVar w:name="dvpe" w:val="779.615"/>
    <w:docVar w:name="dvrapporteur" w:val="Ordfører: "/>
    <w:docVar w:name="dvstar" w:val="***I"/>
    <w:docVar w:name="dvtitre" w:val="Europa-Parlamentets lovgivningsmæssige beslutning af xx.xx 2025 om forslag til Europa-Parlamentets og Rådets forordning om iværksættelse af den bilaterale beskyttelsesklausul i partnerskabsaftalen mellem EU og Mercosur og i interimsaftalen om handel med landbrugsprodukter mellem EU og Mercosur(COM(2025)0639 – C10-0247/2025 – 2025/0322(COD))"/>
  </w:docVars>
  <w:rsids>
    <w:rsidRoot w:val="006E4D6C"/>
    <w:rsid w:val="00002272"/>
    <w:rsid w:val="000258F5"/>
    <w:rsid w:val="00053E84"/>
    <w:rsid w:val="00064002"/>
    <w:rsid w:val="000677B9"/>
    <w:rsid w:val="000831BA"/>
    <w:rsid w:val="000A42CC"/>
    <w:rsid w:val="000D4DFA"/>
    <w:rsid w:val="000E7DD9"/>
    <w:rsid w:val="000F1A7A"/>
    <w:rsid w:val="0010095E"/>
    <w:rsid w:val="00125B37"/>
    <w:rsid w:val="00146248"/>
    <w:rsid w:val="00163355"/>
    <w:rsid w:val="00187494"/>
    <w:rsid w:val="001B50AB"/>
    <w:rsid w:val="001B6A3F"/>
    <w:rsid w:val="001F32AE"/>
    <w:rsid w:val="002767FF"/>
    <w:rsid w:val="002B18FE"/>
    <w:rsid w:val="002B5493"/>
    <w:rsid w:val="002E793C"/>
    <w:rsid w:val="00317C57"/>
    <w:rsid w:val="00343214"/>
    <w:rsid w:val="00361C00"/>
    <w:rsid w:val="00374FE4"/>
    <w:rsid w:val="00395FA1"/>
    <w:rsid w:val="003E15D4"/>
    <w:rsid w:val="00411CCE"/>
    <w:rsid w:val="0041666E"/>
    <w:rsid w:val="00421060"/>
    <w:rsid w:val="00425E0B"/>
    <w:rsid w:val="00433FE1"/>
    <w:rsid w:val="00471C19"/>
    <w:rsid w:val="004867E3"/>
    <w:rsid w:val="00494A28"/>
    <w:rsid w:val="004C0004"/>
    <w:rsid w:val="004C5D52"/>
    <w:rsid w:val="0050519A"/>
    <w:rsid w:val="005072A1"/>
    <w:rsid w:val="00514517"/>
    <w:rsid w:val="00526C37"/>
    <w:rsid w:val="00545827"/>
    <w:rsid w:val="00560270"/>
    <w:rsid w:val="00574916"/>
    <w:rsid w:val="00593EF2"/>
    <w:rsid w:val="005C0365"/>
    <w:rsid w:val="005C2568"/>
    <w:rsid w:val="005F1B17"/>
    <w:rsid w:val="005F54A0"/>
    <w:rsid w:val="006037C0"/>
    <w:rsid w:val="00654035"/>
    <w:rsid w:val="006631B6"/>
    <w:rsid w:val="00680577"/>
    <w:rsid w:val="006A72E7"/>
    <w:rsid w:val="006E4D6C"/>
    <w:rsid w:val="006F74FA"/>
    <w:rsid w:val="00731ADD"/>
    <w:rsid w:val="00734777"/>
    <w:rsid w:val="00747932"/>
    <w:rsid w:val="00751A4A"/>
    <w:rsid w:val="00756632"/>
    <w:rsid w:val="00762C74"/>
    <w:rsid w:val="00786EC0"/>
    <w:rsid w:val="007D1690"/>
    <w:rsid w:val="007E22AD"/>
    <w:rsid w:val="00817416"/>
    <w:rsid w:val="00842779"/>
    <w:rsid w:val="0085716C"/>
    <w:rsid w:val="00865F67"/>
    <w:rsid w:val="00881A7B"/>
    <w:rsid w:val="008840E5"/>
    <w:rsid w:val="00887B3E"/>
    <w:rsid w:val="008C2AC6"/>
    <w:rsid w:val="00930C23"/>
    <w:rsid w:val="0093193B"/>
    <w:rsid w:val="009509D8"/>
    <w:rsid w:val="00950B64"/>
    <w:rsid w:val="00974107"/>
    <w:rsid w:val="00981893"/>
    <w:rsid w:val="00996E20"/>
    <w:rsid w:val="00A1687D"/>
    <w:rsid w:val="00A43E52"/>
    <w:rsid w:val="00A4678D"/>
    <w:rsid w:val="00A46A1B"/>
    <w:rsid w:val="00A778C7"/>
    <w:rsid w:val="00AB441E"/>
    <w:rsid w:val="00AB6293"/>
    <w:rsid w:val="00AE0645"/>
    <w:rsid w:val="00AE0928"/>
    <w:rsid w:val="00AF3B82"/>
    <w:rsid w:val="00B12E95"/>
    <w:rsid w:val="00B14760"/>
    <w:rsid w:val="00B22876"/>
    <w:rsid w:val="00B411A9"/>
    <w:rsid w:val="00B558F0"/>
    <w:rsid w:val="00BD48FE"/>
    <w:rsid w:val="00BD7BD8"/>
    <w:rsid w:val="00BE6ADC"/>
    <w:rsid w:val="00C05BFE"/>
    <w:rsid w:val="00C17610"/>
    <w:rsid w:val="00C23CD4"/>
    <w:rsid w:val="00C61C0C"/>
    <w:rsid w:val="00C941CB"/>
    <w:rsid w:val="00CC2357"/>
    <w:rsid w:val="00CD098C"/>
    <w:rsid w:val="00CF071A"/>
    <w:rsid w:val="00D058B8"/>
    <w:rsid w:val="00D55EF9"/>
    <w:rsid w:val="00D56C11"/>
    <w:rsid w:val="00D834A0"/>
    <w:rsid w:val="00D872DF"/>
    <w:rsid w:val="00D91E21"/>
    <w:rsid w:val="00DA5674"/>
    <w:rsid w:val="00DA7FCD"/>
    <w:rsid w:val="00DC60DC"/>
    <w:rsid w:val="00E365E1"/>
    <w:rsid w:val="00E71260"/>
    <w:rsid w:val="00E820A4"/>
    <w:rsid w:val="00EB006A"/>
    <w:rsid w:val="00EB4772"/>
    <w:rsid w:val="00ED169E"/>
    <w:rsid w:val="00ED4235"/>
    <w:rsid w:val="00EE47A1"/>
    <w:rsid w:val="00EF008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54267"/>
  <w15:chartTrackingRefBased/>
  <w15:docId w15:val="{16B44990-08DA-451C-9A44-DC695664D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14760"/>
    <w:pPr>
      <w:spacing w:after="120"/>
    </w:pPr>
  </w:style>
  <w:style w:type="paragraph" w:customStyle="1" w:styleId="NormalBold">
    <w:name w:val="NormalBold"/>
    <w:basedOn w:val="Normal"/>
    <w:link w:val="NormalBoldChar"/>
    <w:rsid w:val="00B14760"/>
    <w:rPr>
      <w:b/>
    </w:rPr>
  </w:style>
  <w:style w:type="paragraph" w:customStyle="1" w:styleId="NormalHanging12a">
    <w:name w:val="NormalHanging12a"/>
    <w:basedOn w:val="Normal"/>
    <w:rsid w:val="00B14760"/>
    <w:pPr>
      <w:spacing w:after="240"/>
      <w:ind w:left="567" w:hanging="567"/>
    </w:pPr>
  </w:style>
  <w:style w:type="paragraph" w:customStyle="1" w:styleId="AmColumnHeading">
    <w:name w:val="AmColumnHeading"/>
    <w:basedOn w:val="Normal"/>
    <w:rsid w:val="00B14760"/>
    <w:pPr>
      <w:spacing w:after="240"/>
      <w:jc w:val="center"/>
    </w:pPr>
    <w:rPr>
      <w:i/>
    </w:rPr>
  </w:style>
  <w:style w:type="paragraph" w:customStyle="1" w:styleId="AmNumberTabs">
    <w:name w:val="AmNumberTabs"/>
    <w:basedOn w:val="Normal"/>
    <w:rsid w:val="00B147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14760"/>
    <w:pPr>
      <w:spacing w:before="240"/>
    </w:pPr>
    <w:rPr>
      <w:b/>
    </w:rPr>
  </w:style>
  <w:style w:type="paragraph" w:customStyle="1" w:styleId="EPComma">
    <w:name w:val="EPComma"/>
    <w:basedOn w:val="Normal"/>
    <w:rsid w:val="00B14760"/>
    <w:pPr>
      <w:spacing w:before="480" w:after="240"/>
    </w:pPr>
  </w:style>
  <w:style w:type="character" w:customStyle="1" w:styleId="NormalBoldChar">
    <w:name w:val="NormalBold Char"/>
    <w:basedOn w:val="DefaultParagraphFont"/>
    <w:link w:val="NormalBold"/>
    <w:locked/>
    <w:rsid w:val="00B14760"/>
    <w:rPr>
      <w:b/>
      <w:sz w:val="24"/>
      <w:lang w:val="da-DK"/>
    </w:rPr>
  </w:style>
  <w:style w:type="paragraph" w:styleId="Revision">
    <w:name w:val="Revision"/>
    <w:hidden/>
    <w:uiPriority w:val="99"/>
    <w:semiHidden/>
    <w:rsid w:val="00974107"/>
    <w:rPr>
      <w:sz w:val="24"/>
      <w:lang w:val="da-DK"/>
    </w:rPr>
  </w:style>
  <w:style w:type="character" w:styleId="CommentReference">
    <w:name w:val="annotation reference"/>
    <w:basedOn w:val="DefaultParagraphFont"/>
    <w:rsid w:val="00974107"/>
    <w:rPr>
      <w:sz w:val="16"/>
      <w:szCs w:val="16"/>
    </w:rPr>
  </w:style>
  <w:style w:type="paragraph" w:styleId="CommentText">
    <w:name w:val="annotation text"/>
    <w:basedOn w:val="Normal"/>
    <w:link w:val="CommentTextChar"/>
    <w:rsid w:val="00974107"/>
    <w:rPr>
      <w:sz w:val="20"/>
    </w:rPr>
  </w:style>
  <w:style w:type="character" w:customStyle="1" w:styleId="CommentTextChar">
    <w:name w:val="Comment Text Char"/>
    <w:basedOn w:val="DefaultParagraphFont"/>
    <w:link w:val="CommentText"/>
    <w:rsid w:val="00974107"/>
    <w:rPr>
      <w:lang w:val="da-DK"/>
    </w:rPr>
  </w:style>
  <w:style w:type="paragraph" w:styleId="CommentSubject">
    <w:name w:val="annotation subject"/>
    <w:basedOn w:val="CommentText"/>
    <w:next w:val="CommentText"/>
    <w:link w:val="CommentSubjectChar"/>
    <w:rsid w:val="00974107"/>
    <w:rPr>
      <w:b/>
      <w:bCs/>
    </w:rPr>
  </w:style>
  <w:style w:type="character" w:customStyle="1" w:styleId="CommentSubjectChar">
    <w:name w:val="Comment Subject Char"/>
    <w:basedOn w:val="CommentTextChar"/>
    <w:link w:val="CommentSubject"/>
    <w:rsid w:val="00974107"/>
    <w:rPr>
      <w:b/>
      <w:bCs/>
      <w:lang w:val="da-DK"/>
    </w:rPr>
  </w:style>
  <w:style w:type="character" w:styleId="Hyperlink">
    <w:name w:val="Hyperlink"/>
    <w:uiPriority w:val="99"/>
    <w:rsid w:val="00A46A1B"/>
    <w:rPr>
      <w:color w:val="0000FF"/>
      <w:u w:val="single"/>
    </w:rPr>
  </w:style>
  <w:style w:type="character" w:styleId="UnresolvedMention">
    <w:name w:val="Unresolved Mention"/>
    <w:basedOn w:val="DefaultParagraphFont"/>
    <w:uiPriority w:val="99"/>
    <w:semiHidden/>
    <w:unhideWhenUsed/>
    <w:rsid w:val="00AE0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59586">
      <w:bodyDiv w:val="1"/>
      <w:marLeft w:val="0"/>
      <w:marRight w:val="0"/>
      <w:marTop w:val="0"/>
      <w:marBottom w:val="0"/>
      <w:divBdr>
        <w:top w:val="none" w:sz="0" w:space="0" w:color="auto"/>
        <w:left w:val="none" w:sz="0" w:space="0" w:color="auto"/>
        <w:bottom w:val="none" w:sz="0" w:space="0" w:color="auto"/>
        <w:right w:val="none" w:sz="0" w:space="0" w:color="auto"/>
      </w:divBdr>
    </w:div>
    <w:div w:id="895629076">
      <w:bodyDiv w:val="1"/>
      <w:marLeft w:val="0"/>
      <w:marRight w:val="0"/>
      <w:marTop w:val="0"/>
      <w:marBottom w:val="0"/>
      <w:divBdr>
        <w:top w:val="none" w:sz="0" w:space="0" w:color="auto"/>
        <w:left w:val="none" w:sz="0" w:space="0" w:color="auto"/>
        <w:bottom w:val="none" w:sz="0" w:space="0" w:color="auto"/>
        <w:right w:val="none" w:sz="0" w:space="0" w:color="auto"/>
      </w:divBdr>
      <w:divsChild>
        <w:div w:id="1200162901">
          <w:marLeft w:val="0"/>
          <w:marRight w:val="0"/>
          <w:marTop w:val="0"/>
          <w:marBottom w:val="0"/>
          <w:divBdr>
            <w:top w:val="none" w:sz="0" w:space="0" w:color="auto"/>
            <w:left w:val="none" w:sz="0" w:space="0" w:color="auto"/>
            <w:bottom w:val="none" w:sz="0" w:space="0" w:color="auto"/>
            <w:right w:val="none" w:sz="0" w:space="0" w:color="auto"/>
          </w:divBdr>
        </w:div>
      </w:divsChild>
    </w:div>
    <w:div w:id="1075860731">
      <w:bodyDiv w:val="1"/>
      <w:marLeft w:val="0"/>
      <w:marRight w:val="0"/>
      <w:marTop w:val="0"/>
      <w:marBottom w:val="0"/>
      <w:divBdr>
        <w:top w:val="none" w:sz="0" w:space="0" w:color="auto"/>
        <w:left w:val="none" w:sz="0" w:space="0" w:color="auto"/>
        <w:bottom w:val="none" w:sz="0" w:space="0" w:color="auto"/>
        <w:right w:val="none" w:sz="0" w:space="0" w:color="auto"/>
      </w:divBdr>
    </w:div>
    <w:div w:id="1664090378">
      <w:bodyDiv w:val="1"/>
      <w:marLeft w:val="0"/>
      <w:marRight w:val="0"/>
      <w:marTop w:val="0"/>
      <w:marBottom w:val="0"/>
      <w:divBdr>
        <w:top w:val="none" w:sz="0" w:space="0" w:color="auto"/>
        <w:left w:val="none" w:sz="0" w:space="0" w:color="auto"/>
        <w:bottom w:val="none" w:sz="0" w:space="0" w:color="auto"/>
        <w:right w:val="none" w:sz="0" w:space="0" w:color="auto"/>
      </w:divBdr>
      <w:divsChild>
        <w:div w:id="838689705">
          <w:marLeft w:val="0"/>
          <w:marRight w:val="0"/>
          <w:marTop w:val="0"/>
          <w:marBottom w:val="0"/>
          <w:divBdr>
            <w:top w:val="none" w:sz="0" w:space="0" w:color="auto"/>
            <w:left w:val="none" w:sz="0" w:space="0" w:color="auto"/>
            <w:bottom w:val="none" w:sz="0" w:space="0" w:color="auto"/>
            <w:right w:val="none" w:sz="0" w:space="0" w:color="auto"/>
          </w:divBdr>
        </w:div>
      </w:divsChild>
    </w:div>
    <w:div w:id="191138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827</Words>
  <Characters>5423</Characters>
  <Application>Microsoft Office Word</Application>
  <DocSecurity>0</DocSecurity>
  <Lines>187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TOP TA</cp:lastModifiedBy>
  <cp:revision>2</cp:revision>
  <cp:lastPrinted>2004-11-19T15:42:00Z</cp:lastPrinted>
  <dcterms:created xsi:type="dcterms:W3CDTF">2026-04-13T15:44:00Z</dcterms:created>
  <dcterms:modified xsi:type="dcterms:W3CDTF">2026-04-13T15:44:00Z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P10_TA(2026)0030_</vt:lpwstr>
  </property>
  <property fmtid="{D5CDD505-2E9C-101B-9397-08002B2CF9AE}" pid="4" name="&lt;Type&gt;">
    <vt:lpwstr>RR</vt:lpwstr>
  </property>
</Properties>
</file>