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2887" w14:paraId="4765CC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FB95F4" w14:textId="77777777" w:rsidR="00751A4A" w:rsidRPr="00C82887" w:rsidRDefault="0011118E" w:rsidP="0010095E">
            <w:pPr>
              <w:pStyle w:val="EPName"/>
            </w:pPr>
            <w:r w:rsidRPr="00C82887">
              <w:t>Europski parlament</w:t>
            </w:r>
          </w:p>
          <w:p w14:paraId="58B45BD3" w14:textId="77777777" w:rsidR="00751A4A" w:rsidRPr="00C828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2887">
              <w:t>2024</w:t>
            </w:r>
            <w:r w:rsidR="00817416" w:rsidRPr="00C82887">
              <w:t>-202</w:t>
            </w:r>
            <w:r w:rsidRPr="00C82887">
              <w:t>9</w:t>
            </w:r>
          </w:p>
        </w:tc>
        <w:tc>
          <w:tcPr>
            <w:tcW w:w="2268" w:type="dxa"/>
            <w:shd w:val="clear" w:color="auto" w:fill="auto"/>
          </w:tcPr>
          <w:p w14:paraId="1A33919C" w14:textId="77777777" w:rsidR="00751A4A" w:rsidRPr="00C82887" w:rsidRDefault="00187494" w:rsidP="0010095E">
            <w:pPr>
              <w:pStyle w:val="EPLogo"/>
            </w:pPr>
            <w:r w:rsidRPr="00C82887">
              <w:rPr>
                <w:noProof/>
                <w:lang w:eastAsia="ja-JP"/>
              </w:rPr>
              <w:drawing>
                <wp:inline distT="0" distB="0" distL="0" distR="0" wp14:anchorId="1B28E860" wp14:editId="0B677E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75CC0B" w14:textId="77777777" w:rsidR="00D058B8" w:rsidRPr="00C82887" w:rsidRDefault="00D058B8" w:rsidP="004C5D52">
      <w:pPr>
        <w:pStyle w:val="LineTop"/>
      </w:pPr>
    </w:p>
    <w:p w14:paraId="6D219C6F" w14:textId="77777777" w:rsidR="00680577" w:rsidRPr="00C82887" w:rsidRDefault="0011118E" w:rsidP="00680577">
      <w:pPr>
        <w:pStyle w:val="EPBodyTA1"/>
      </w:pPr>
      <w:r w:rsidRPr="00C82887">
        <w:t>USVOJENI TEKSTOVI</w:t>
      </w:r>
    </w:p>
    <w:p w14:paraId="3D7B3161" w14:textId="77777777" w:rsidR="00D058B8" w:rsidRPr="00C82887" w:rsidRDefault="00D058B8" w:rsidP="00D058B8">
      <w:pPr>
        <w:pStyle w:val="LineBottom"/>
      </w:pPr>
    </w:p>
    <w:p w14:paraId="3A22352C" w14:textId="4787A49C" w:rsidR="0011118E" w:rsidRPr="00C82887" w:rsidRDefault="0011118E" w:rsidP="0011118E">
      <w:pPr>
        <w:pStyle w:val="ATHeading1"/>
      </w:pPr>
      <w:bookmarkStart w:id="0" w:name="TANumber"/>
      <w:r w:rsidRPr="00C82887">
        <w:t>P10_TA(202</w:t>
      </w:r>
      <w:r w:rsidR="003A2139">
        <w:t>6</w:t>
      </w:r>
      <w:r w:rsidRPr="00C82887">
        <w:t>)00</w:t>
      </w:r>
      <w:r w:rsidR="006B52C6">
        <w:t>30</w:t>
      </w:r>
      <w:bookmarkEnd w:id="0"/>
    </w:p>
    <w:p w14:paraId="4D5EB825" w14:textId="77777777" w:rsidR="0011118E" w:rsidRPr="00C82887" w:rsidRDefault="0011118E" w:rsidP="0011118E">
      <w:pPr>
        <w:pStyle w:val="ATHeading2"/>
      </w:pPr>
      <w:bookmarkStart w:id="1" w:name="title"/>
      <w:r w:rsidRPr="00C82887">
        <w:t xml:space="preserve">Bilateralna zaštitna klauzula iz Sporazuma o partnerstvu između EU-a i </w:t>
      </w:r>
      <w:proofErr w:type="spellStart"/>
      <w:r w:rsidRPr="00C82887">
        <w:t>Mercosura</w:t>
      </w:r>
      <w:proofErr w:type="spellEnd"/>
      <w:r w:rsidRPr="00C82887">
        <w:t xml:space="preserve"> i Privremenog sporazuma o trgovini između EU-a i </w:t>
      </w:r>
      <w:proofErr w:type="spellStart"/>
      <w:r w:rsidRPr="00C82887">
        <w:t>Mercosura</w:t>
      </w:r>
      <w:proofErr w:type="spellEnd"/>
      <w:r w:rsidRPr="00C82887">
        <w:t xml:space="preserve"> za poljoprivredne proizvode</w:t>
      </w:r>
      <w:bookmarkEnd w:id="1"/>
    </w:p>
    <w:p w14:paraId="45CB3124" w14:textId="77777777" w:rsidR="0011118E" w:rsidRPr="00C82887" w:rsidRDefault="0011118E" w:rsidP="0011118E">
      <w:pPr>
        <w:rPr>
          <w:i/>
          <w:vanish/>
        </w:rPr>
      </w:pPr>
      <w:r w:rsidRPr="00C82887">
        <w:rPr>
          <w:i/>
        </w:rPr>
        <w:fldChar w:fldCharType="begin"/>
      </w:r>
      <w:r w:rsidRPr="00C82887">
        <w:rPr>
          <w:i/>
        </w:rPr>
        <w:instrText xml:space="preserve"> TC"(</w:instrText>
      </w:r>
      <w:bookmarkStart w:id="2" w:name="DocNumber"/>
      <w:r w:rsidRPr="00C82887">
        <w:rPr>
          <w:i/>
        </w:rPr>
        <w:instrText>A10-0254/2025</w:instrText>
      </w:r>
      <w:bookmarkEnd w:id="2"/>
      <w:r w:rsidRPr="00C82887">
        <w:rPr>
          <w:i/>
        </w:rPr>
        <w:instrText xml:space="preserve"> - Izvjestitelj: Gabriel Mato)"\l3 \n&gt; \* MERGEFORMAT </w:instrText>
      </w:r>
      <w:r w:rsidRPr="00C82887">
        <w:rPr>
          <w:i/>
        </w:rPr>
        <w:fldChar w:fldCharType="end"/>
      </w:r>
    </w:p>
    <w:p w14:paraId="1F2919C8" w14:textId="77777777" w:rsidR="0011118E" w:rsidRPr="00C82887" w:rsidRDefault="0011118E" w:rsidP="0011118E">
      <w:pPr>
        <w:rPr>
          <w:vanish/>
        </w:rPr>
      </w:pPr>
      <w:bookmarkStart w:id="3" w:name="Commission"/>
      <w:r w:rsidRPr="00C82887">
        <w:rPr>
          <w:vanish/>
        </w:rPr>
        <w:t>Odbor za međunarodnu trgovinu</w:t>
      </w:r>
      <w:bookmarkEnd w:id="3"/>
    </w:p>
    <w:p w14:paraId="06CED01F" w14:textId="77777777" w:rsidR="0011118E" w:rsidRPr="00C82887" w:rsidRDefault="0011118E" w:rsidP="0011118E">
      <w:pPr>
        <w:rPr>
          <w:vanish/>
        </w:rPr>
      </w:pPr>
      <w:bookmarkStart w:id="4" w:name="PE"/>
      <w:r w:rsidRPr="00C82887">
        <w:rPr>
          <w:vanish/>
        </w:rPr>
        <w:t>PE779.615</w:t>
      </w:r>
      <w:bookmarkEnd w:id="4"/>
    </w:p>
    <w:p w14:paraId="4712ED28" w14:textId="0ABD016B" w:rsidR="0011118E" w:rsidRPr="00C82887" w:rsidRDefault="0011118E" w:rsidP="0011118E">
      <w:pPr>
        <w:pStyle w:val="ATHeading3"/>
      </w:pPr>
      <w:bookmarkStart w:id="5" w:name="Sujet"/>
      <w:r w:rsidRPr="00C82887">
        <w:t xml:space="preserve">Zakonodavna rezolucija Europskog parlamenta od </w:t>
      </w:r>
      <w:r w:rsidR="00911221">
        <w:t>1</w:t>
      </w:r>
      <w:r w:rsidR="00883DE3">
        <w:t>0</w:t>
      </w:r>
      <w:r w:rsidR="00911221">
        <w:t xml:space="preserve">. </w:t>
      </w:r>
      <w:r w:rsidR="00883DE3">
        <w:t>veljače</w:t>
      </w:r>
      <w:r w:rsidRPr="00C82887">
        <w:t xml:space="preserve"> 202</w:t>
      </w:r>
      <w:r w:rsidR="00883DE3">
        <w:t>6</w:t>
      </w:r>
      <w:r w:rsidRPr="00C82887">
        <w:t xml:space="preserve">. o Prijedlogu uredbe Europskog parlamenta i Vijeća o provedbi bilateralne zaštitne klauzule iz Sporazuma o partnerstvu između EU-a i </w:t>
      </w:r>
      <w:proofErr w:type="spellStart"/>
      <w:r w:rsidRPr="00C82887">
        <w:t>Mercosura</w:t>
      </w:r>
      <w:proofErr w:type="spellEnd"/>
      <w:r w:rsidRPr="00C82887">
        <w:t xml:space="preserve"> i Privremenog sporazuma o trgovini između EU-a i </w:t>
      </w:r>
      <w:proofErr w:type="spellStart"/>
      <w:r w:rsidRPr="00C82887">
        <w:t>Mercosura</w:t>
      </w:r>
      <w:proofErr w:type="spellEnd"/>
      <w:r w:rsidRPr="00C82887">
        <w:t xml:space="preserve"> za poljoprivredne proizvode</w:t>
      </w:r>
      <w:bookmarkEnd w:id="5"/>
      <w:r w:rsidRPr="00C82887">
        <w:t xml:space="preserve"> </w:t>
      </w:r>
      <w:bookmarkStart w:id="6" w:name="References"/>
      <w:r w:rsidRPr="00C82887">
        <w:t>(COM(2025)0639 – C10-0247/2025 – 2025/0322(COD))</w:t>
      </w:r>
      <w:bookmarkEnd w:id="6"/>
    </w:p>
    <w:p w14:paraId="15BE941A" w14:textId="77777777" w:rsidR="00B76A44" w:rsidRPr="00C82887" w:rsidRDefault="00B76A44" w:rsidP="00B76A44">
      <w:pPr>
        <w:pStyle w:val="NormalBold"/>
      </w:pPr>
      <w:r w:rsidRPr="00C82887">
        <w:t>(Redovni zakonodavni postupak: prvo čitanje)</w:t>
      </w:r>
    </w:p>
    <w:p w14:paraId="4B445700" w14:textId="77777777" w:rsidR="00B76A44" w:rsidRPr="00C82887" w:rsidRDefault="00B76A44" w:rsidP="00B76A44">
      <w:pPr>
        <w:pStyle w:val="EPComma"/>
      </w:pPr>
      <w:r w:rsidRPr="00C82887">
        <w:rPr>
          <w:i/>
        </w:rPr>
        <w:t>Europski parlament</w:t>
      </w:r>
      <w:r w:rsidRPr="00C82887">
        <w:t>,</w:t>
      </w:r>
    </w:p>
    <w:p w14:paraId="17CA85A0" w14:textId="77777777" w:rsidR="00B76A44" w:rsidRPr="00C82887" w:rsidRDefault="00B76A44" w:rsidP="00B76A44">
      <w:pPr>
        <w:pStyle w:val="NormalHanging12a"/>
      </w:pPr>
      <w:r w:rsidRPr="00C82887">
        <w:t>–</w:t>
      </w:r>
      <w:r w:rsidRPr="00C82887">
        <w:tab/>
        <w:t>uzimajući u obzir Prijedlog Komisije upućen Europskom parlamentu i Vijeću (COM(2025)0639),</w:t>
      </w:r>
    </w:p>
    <w:p w14:paraId="4F7510CF" w14:textId="77777777" w:rsidR="00B76A44" w:rsidRPr="00C82887" w:rsidRDefault="00B76A44" w:rsidP="00B76A44">
      <w:pPr>
        <w:pStyle w:val="NormalHanging12a"/>
      </w:pPr>
      <w:r w:rsidRPr="00C82887">
        <w:t>–</w:t>
      </w:r>
      <w:r w:rsidRPr="00C82887">
        <w:tab/>
        <w:t>uzimajući u obzir članak 294. stavak 2. i članak 207. stavak 2. Ugovora o funkcioniranju Europske unije, u skladu s kojima je Komisija podnijela Prijedlog Parlamentu (C10</w:t>
      </w:r>
      <w:r w:rsidRPr="00C82887">
        <w:noBreakHyphen/>
        <w:t>0247/2025),</w:t>
      </w:r>
    </w:p>
    <w:p w14:paraId="5912AC31" w14:textId="77777777" w:rsidR="00B76A44" w:rsidRDefault="00B76A44" w:rsidP="00B76A44">
      <w:pPr>
        <w:pStyle w:val="NormalHanging12a"/>
      </w:pPr>
      <w:r w:rsidRPr="00C82887">
        <w:t>–</w:t>
      </w:r>
      <w:r w:rsidRPr="00C82887">
        <w:tab/>
        <w:t>uzimajući u obzir članak 294. stavak 3. Ugovora o funkcioniranju Europske unije,</w:t>
      </w:r>
    </w:p>
    <w:p w14:paraId="44C37626" w14:textId="7F63F6E4" w:rsidR="00883DE3" w:rsidRPr="00C82887" w:rsidRDefault="00883DE3" w:rsidP="00B76A44">
      <w:pPr>
        <w:pStyle w:val="NormalHanging12a"/>
      </w:pPr>
      <w:r w:rsidRPr="00883DE3">
        <w:t>–</w:t>
      </w:r>
      <w:r w:rsidRPr="00883DE3">
        <w:tab/>
        <w:t xml:space="preserve">uzimajući u obzir privremeni sporazum koji je odobrio nadležni odbor u skladu s člankom 75. stavkom 4. Poslovnika te činjenicu da se predstavnik Vijeća pismom od 9. </w:t>
      </w:r>
      <w:r>
        <w:t>siječnja</w:t>
      </w:r>
      <w:r w:rsidRPr="00883DE3">
        <w:t xml:space="preserve"> 202</w:t>
      </w:r>
      <w:r>
        <w:t>6</w:t>
      </w:r>
      <w:r w:rsidRPr="00883DE3">
        <w:t>. obvezao prihvatiti stajalište Europskog parlamenta u skladu s člankom 294. stavkom 4. Ugovora o funkcioniranju Europske unije,</w:t>
      </w:r>
    </w:p>
    <w:p w14:paraId="3E5F6008" w14:textId="77777777" w:rsidR="008B0CF6" w:rsidRDefault="00B76A44" w:rsidP="00B76A44">
      <w:pPr>
        <w:pStyle w:val="NormalHanging12a"/>
      </w:pPr>
      <w:r w:rsidRPr="00C82887">
        <w:t>–</w:t>
      </w:r>
      <w:r w:rsidRPr="00C82887">
        <w:tab/>
        <w:t>uzimajući u obzir članak 60. Poslovnika,</w:t>
      </w:r>
    </w:p>
    <w:p w14:paraId="7CBCA5E0" w14:textId="11106E2D" w:rsidR="00B76A44" w:rsidRPr="00C82887" w:rsidRDefault="00B76A44" w:rsidP="00B76A44">
      <w:pPr>
        <w:pStyle w:val="NormalHanging12a"/>
      </w:pPr>
      <w:r w:rsidRPr="00C82887">
        <w:t>–</w:t>
      </w:r>
      <w:r w:rsidRPr="00C82887">
        <w:tab/>
        <w:t>uzimajući u obzir izvješće Odbora za međunarodnu trgovinu (A10</w:t>
      </w:r>
      <w:r w:rsidRPr="00C82887">
        <w:noBreakHyphen/>
        <w:t>0254/2025),</w:t>
      </w:r>
    </w:p>
    <w:p w14:paraId="6C348F17" w14:textId="6A00223E" w:rsidR="00B76A44" w:rsidRDefault="00B76A44" w:rsidP="00B76A44">
      <w:pPr>
        <w:pStyle w:val="NormalHanging12a"/>
      </w:pPr>
      <w:r w:rsidRPr="00C82887">
        <w:t>1.</w:t>
      </w:r>
      <w:r w:rsidRPr="00C82887">
        <w:tab/>
        <w:t>usvaja niže navedeno stajalište u prvom čitanju</w:t>
      </w:r>
      <w:r w:rsidR="00BA1717">
        <w:rPr>
          <w:rStyle w:val="FootnoteReference"/>
        </w:rPr>
        <w:footnoteReference w:id="1"/>
      </w:r>
      <w:r w:rsidRPr="00C82887">
        <w:t>;</w:t>
      </w:r>
    </w:p>
    <w:p w14:paraId="7DE5F246" w14:textId="1E7CFAB0" w:rsidR="00883DE3" w:rsidRPr="00C82887" w:rsidRDefault="008D62EB" w:rsidP="00B76A44">
      <w:pPr>
        <w:pStyle w:val="NormalHanging12a"/>
      </w:pPr>
      <w:r>
        <w:t>2.</w:t>
      </w:r>
      <w:r>
        <w:tab/>
      </w:r>
      <w:r w:rsidRPr="008D62EB">
        <w:t xml:space="preserve">prima na znanje izjavu Komisije priloženu ovoj Rezoluciji, koja će se objaviti u seriji C </w:t>
      </w:r>
      <w:r w:rsidRPr="003A2139">
        <w:rPr>
          <w:i/>
          <w:iCs/>
        </w:rPr>
        <w:lastRenderedPageBreak/>
        <w:t>Službenog lista Europske unije</w:t>
      </w:r>
      <w:r w:rsidRPr="008D62EB">
        <w:t>;</w:t>
      </w:r>
    </w:p>
    <w:p w14:paraId="376243FE" w14:textId="4948D26F" w:rsidR="00B76A44" w:rsidRPr="00C82887" w:rsidRDefault="008D62EB" w:rsidP="00B76A44">
      <w:pPr>
        <w:pStyle w:val="NormalHanging12a"/>
      </w:pPr>
      <w:r>
        <w:t>3</w:t>
      </w:r>
      <w:r w:rsidR="00B76A44" w:rsidRPr="00C82887">
        <w:t>.</w:t>
      </w:r>
      <w:r w:rsidR="00B76A44" w:rsidRPr="00C82887">
        <w:tab/>
        <w:t>poziva Komisiju da predmet ponovno uputi Parlamentu ako zamijeni, bitno izmijeni ili namjerava bitno izmijeniti svoj Prijedlog;</w:t>
      </w:r>
    </w:p>
    <w:p w14:paraId="105531CE" w14:textId="09BDD1C8" w:rsidR="00B76A44" w:rsidRPr="00C82887" w:rsidRDefault="008D62EB" w:rsidP="00911221">
      <w:pPr>
        <w:widowControl/>
        <w:spacing w:after="240"/>
        <w:ind w:left="567" w:hanging="567"/>
      </w:pPr>
      <w:r>
        <w:t>4</w:t>
      </w:r>
      <w:r w:rsidR="00B76A44" w:rsidRPr="00C82887">
        <w:t>.</w:t>
      </w:r>
      <w:r w:rsidR="00B76A44" w:rsidRPr="00C82887">
        <w:tab/>
        <w:t>nalaže svojoj predsjednici da stajalište Parlamenta proslijedi Vijeću, Komisiji i nacionalnim parlamentima.</w:t>
      </w:r>
    </w:p>
    <w:p w14:paraId="07AB074F" w14:textId="77777777" w:rsidR="006B52C6" w:rsidRDefault="006B52C6" w:rsidP="008D62E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6B52C6" w:rsidSect="00883DE3">
          <w:footerReference w:type="default" r:id="rId9"/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08"/>
          <w:docGrid w:linePitch="360"/>
        </w:sectPr>
      </w:pPr>
    </w:p>
    <w:p w14:paraId="1209373F" w14:textId="77777777" w:rsidR="008D62EB" w:rsidRPr="00D775EE" w:rsidRDefault="008D62EB" w:rsidP="008D62E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775EE">
        <w:rPr>
          <w:rFonts w:eastAsia="Calibri"/>
          <w:b/>
          <w:bCs/>
          <w:color w:val="000000"/>
          <w:szCs w:val="24"/>
        </w:rPr>
        <w:lastRenderedPageBreak/>
        <w:t>P10_TC1-COD(2025)0322</w:t>
      </w:r>
    </w:p>
    <w:p w14:paraId="35B7F658" w14:textId="651AB0D9" w:rsidR="00883DE3" w:rsidRPr="00883DE3" w:rsidRDefault="00883DE3" w:rsidP="003A2139">
      <w:pPr>
        <w:widowControl/>
        <w:rPr>
          <w:rFonts w:eastAsia="Calibri"/>
          <w:b/>
          <w:noProof/>
          <w:szCs w:val="22"/>
          <w:lang w:eastAsia="en-US"/>
        </w:rPr>
      </w:pPr>
      <w:r w:rsidRPr="00883DE3">
        <w:rPr>
          <w:b/>
        </w:rPr>
        <w:t xml:space="preserve">Stajalište Europskog parlamenta usvojeno u prvom čitanju 10. veljače 2026. radi donošenja </w:t>
      </w:r>
      <w:r w:rsidR="008D62EB">
        <w:rPr>
          <w:b/>
        </w:rPr>
        <w:t>Uredbe</w:t>
      </w:r>
      <w:r w:rsidRPr="00883DE3">
        <w:rPr>
          <w:b/>
        </w:rPr>
        <w:t xml:space="preserve"> (EU) 2026/... Europskog parlamenta i Vijeća </w:t>
      </w:r>
      <w:r w:rsidRPr="00883DE3">
        <w:rPr>
          <w:rFonts w:eastAsia="Calibri"/>
          <w:b/>
          <w:noProof/>
          <w:szCs w:val="22"/>
          <w:lang w:eastAsia="en-US"/>
        </w:rPr>
        <w:t>o provedbi bilateralnih zaštitnih klauzula iz Sporazuma o partnerstvu između EU-a i Mercosura i Privremenog sporazuma o trgovini između EU-a i Mercosura za poljoprivredne proizvode</w:t>
      </w:r>
    </w:p>
    <w:p w14:paraId="5FD2A895" w14:textId="3E026B4B" w:rsidR="00A35234" w:rsidRPr="00A0575C" w:rsidRDefault="00A35234" w:rsidP="00A35234">
      <w:pPr>
        <w:widowControl/>
        <w:spacing w:before="360" w:after="120"/>
        <w:rPr>
          <w:rFonts w:eastAsia="Calibri"/>
          <w:bCs/>
          <w:szCs w:val="22"/>
          <w:lang w:eastAsia="hr-HR" w:bidi="hr-HR"/>
        </w:rPr>
      </w:pPr>
      <w:r w:rsidRPr="00A0575C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2026/</w:t>
      </w:r>
      <w:r>
        <w:rPr>
          <w:rFonts w:eastAsia="Calibri"/>
          <w:i/>
          <w:szCs w:val="24"/>
          <w:lang w:eastAsia="en-US"/>
        </w:rPr>
        <w:t>687</w:t>
      </w:r>
      <w:r>
        <w:rPr>
          <w:rFonts w:eastAsia="Calibri"/>
          <w:i/>
          <w:szCs w:val="24"/>
          <w:lang w:eastAsia="en-US"/>
        </w:rPr>
        <w:t>.)</w:t>
      </w:r>
    </w:p>
    <w:p w14:paraId="7DDAE573" w14:textId="77777777" w:rsidR="00A35234" w:rsidRDefault="00A35234" w:rsidP="003A2139">
      <w:pPr>
        <w:widowControl/>
        <w:spacing w:before="120" w:after="240"/>
        <w:jc w:val="right"/>
        <w:rPr>
          <w:rFonts w:eastAsia="Calibri"/>
          <w:bCs/>
          <w:szCs w:val="22"/>
          <w:lang w:eastAsia="en-US"/>
        </w:rPr>
        <w:sectPr w:rsidR="00A35234" w:rsidSect="00C8288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3401CE" w14:textId="4712E070" w:rsidR="008D62EB" w:rsidRPr="003A2139" w:rsidRDefault="008D62EB" w:rsidP="003A2139">
      <w:pPr>
        <w:widowControl/>
        <w:spacing w:before="120" w:after="240"/>
        <w:jc w:val="right"/>
        <w:rPr>
          <w:rFonts w:eastAsia="Calibri"/>
          <w:bCs/>
          <w:szCs w:val="22"/>
          <w:lang w:eastAsia="en-US"/>
        </w:rPr>
      </w:pPr>
      <w:r w:rsidRPr="003A2139">
        <w:rPr>
          <w:rFonts w:eastAsia="Calibri"/>
          <w:bCs/>
          <w:szCs w:val="22"/>
          <w:lang w:eastAsia="en-US"/>
        </w:rPr>
        <w:lastRenderedPageBreak/>
        <w:t>PRILOG ZAKONODAVNOJ REZOLUCIJI</w:t>
      </w:r>
    </w:p>
    <w:p w14:paraId="0EE6ACBD" w14:textId="197D2319" w:rsidR="00883DE3" w:rsidRPr="00883DE3" w:rsidRDefault="00883DE3" w:rsidP="003A2139">
      <w:pPr>
        <w:widowControl/>
        <w:spacing w:before="120" w:after="120"/>
        <w:rPr>
          <w:rFonts w:eastAsia="Calibri"/>
          <w:b/>
          <w:bCs/>
          <w:szCs w:val="22"/>
          <w:lang w:eastAsia="en-US"/>
        </w:rPr>
      </w:pPr>
      <w:r w:rsidRPr="00883DE3">
        <w:rPr>
          <w:rFonts w:eastAsia="Calibri"/>
          <w:b/>
          <w:szCs w:val="22"/>
          <w:lang w:eastAsia="en-US"/>
        </w:rPr>
        <w:t xml:space="preserve">Izjava Komisije o proizvodnim standardima koji se primjenjuju na uvezene poljoprivredno-prehrambene proizvode i sanitarnim i </w:t>
      </w:r>
      <w:proofErr w:type="spellStart"/>
      <w:r w:rsidRPr="00883DE3">
        <w:rPr>
          <w:rFonts w:eastAsia="Calibri"/>
          <w:b/>
          <w:szCs w:val="22"/>
          <w:lang w:eastAsia="en-US"/>
        </w:rPr>
        <w:t>fitosanitarnim</w:t>
      </w:r>
      <w:proofErr w:type="spellEnd"/>
      <w:r w:rsidRPr="00883DE3">
        <w:rPr>
          <w:rFonts w:eastAsia="Calibri"/>
          <w:b/>
          <w:szCs w:val="22"/>
          <w:lang w:eastAsia="en-US"/>
        </w:rPr>
        <w:t xml:space="preserve"> kontrolama povodom donošenja Uredbe </w:t>
      </w:r>
      <w:r w:rsidRPr="00883DE3">
        <w:rPr>
          <w:rFonts w:eastAsia="Calibri"/>
          <w:b/>
          <w:bCs/>
          <w:szCs w:val="22"/>
          <w:lang w:eastAsia="en-US"/>
        </w:rPr>
        <w:t>(EU) 2026/</w:t>
      </w:r>
      <w:r w:rsidR="00A35234">
        <w:rPr>
          <w:rFonts w:eastAsia="Calibri"/>
          <w:b/>
          <w:bCs/>
          <w:szCs w:val="22"/>
          <w:lang w:eastAsia="en-US"/>
        </w:rPr>
        <w:t>687</w:t>
      </w:r>
      <w:r w:rsidR="00A35234">
        <w:rPr>
          <w:rStyle w:val="FootnoteReference"/>
          <w:rFonts w:eastAsia="Calibri"/>
          <w:b/>
          <w:bCs/>
          <w:szCs w:val="22"/>
          <w:lang w:eastAsia="en-US"/>
        </w:rPr>
        <w:footnoteReference w:id="2"/>
      </w:r>
    </w:p>
    <w:p w14:paraId="427D8249" w14:textId="77777777" w:rsidR="00883DE3" w:rsidRPr="00883DE3" w:rsidRDefault="00883DE3" w:rsidP="003A2139">
      <w:pPr>
        <w:widowControl/>
        <w:spacing w:before="240" w:after="120"/>
        <w:rPr>
          <w:rFonts w:eastAsia="Calibri"/>
          <w:szCs w:val="22"/>
          <w:lang w:eastAsia="en-US"/>
        </w:rPr>
      </w:pPr>
      <w:r w:rsidRPr="00883DE3">
        <w:rPr>
          <w:rFonts w:eastAsia="Calibri"/>
          <w:szCs w:val="22"/>
          <w:lang w:eastAsia="en-US"/>
        </w:rPr>
        <w:t>Komisija je u Viziji za poljoprivredu i hranu najavila da će raditi na boljem usklađivanju proizvodnih standarda koji se primjenjuju na uvezene proizvode, posebno kad je riječ o dobrobiti životinja i pesticidima.</w:t>
      </w:r>
    </w:p>
    <w:p w14:paraId="63FC0A20" w14:textId="77777777" w:rsidR="00883DE3" w:rsidRPr="00883DE3" w:rsidRDefault="00883DE3" w:rsidP="003A2139">
      <w:pPr>
        <w:widowControl/>
        <w:spacing w:before="120" w:after="120"/>
        <w:rPr>
          <w:rFonts w:eastAsia="Calibri"/>
          <w:szCs w:val="22"/>
          <w:lang w:eastAsia="en-US"/>
        </w:rPr>
      </w:pPr>
      <w:r w:rsidRPr="00883DE3">
        <w:rPr>
          <w:rFonts w:eastAsia="Calibri"/>
          <w:szCs w:val="22"/>
          <w:lang w:eastAsia="en-US"/>
        </w:rPr>
        <w:t>Kad je riječ o pesticidima, Vizija uključuje načelo da se najopasnijim pesticidima zabranjenima u EU-u iz zdravstvenih i okolišnih razloga ne smije dopustiti povratak na tržište EU-a u uvezenim proizvodima kako poljoprivrednici u EU-u i poljoprivredno-prehrambeni sektor ne bi bili u nepovoljnom položaju u odnosu na konkurenciju i kako bi se odgovorilo na očekivanja potrošača. Komisija je u tu svrhu 25. studenoga 2025. pokrenula studiju za pripremu procjene učinka u kojoj će se razmotriti učinci tog pristupa. Uzimajući u obzir rezultate te studije i, ovisno o potrebi, Komisija će predložiti izmjene primjenjivog pravnog okvira. Preliminarna studija trebala bi biti dovršena do ljeta 2026., a nakon toga će se poduzeti sljedeći koraci. Iako se postojećim zakonodavstvom EU-a već štite potrošači i osigurava da sva hrana koja se stavlja na tržište ispunjava naše visoke zdravstvene i sigurnosne standarde, Komisija i dalje predano radi na boljem usklađivanju proizvodnih standarda koji se primjenjuju na uvezene proizvode kako bi se zajamčili jednaki uvjeti za naše poljoprivrednike i proizvođače te očuvala zaštita potrošača.</w:t>
      </w:r>
    </w:p>
    <w:p w14:paraId="571D6522" w14:textId="77777777" w:rsidR="00883DE3" w:rsidRPr="00883DE3" w:rsidRDefault="00883DE3" w:rsidP="003A2139">
      <w:pPr>
        <w:widowControl/>
        <w:spacing w:before="120" w:after="120"/>
        <w:rPr>
          <w:rFonts w:eastAsia="Calibri"/>
          <w:szCs w:val="22"/>
          <w:lang w:eastAsia="en-US"/>
        </w:rPr>
      </w:pPr>
      <w:r w:rsidRPr="00883DE3">
        <w:rPr>
          <w:rFonts w:eastAsia="Calibri"/>
          <w:szCs w:val="22"/>
          <w:lang w:eastAsia="en-US"/>
        </w:rPr>
        <w:t>Komisija je u međuvremenu, u okviru predloženog paketa za pojednostavnjenje propisa o hrani i sigurnosti od 16. prosinca 2025., predložila izmjenu postojećeg zakonodavstva kako bi se osiguralo da se maksimalne razine ostataka (MRO-i) za tvari koje nisu odobrene u Uniji i imaju određena posebno opasna svojstva mogu utvrditi na nulu ako se to smatra primjerenim na temelju rezultata procjene učinka.</w:t>
      </w:r>
    </w:p>
    <w:p w14:paraId="1DBDBEB1" w14:textId="77777777" w:rsidR="00883DE3" w:rsidRPr="00883DE3" w:rsidRDefault="00883DE3" w:rsidP="003A2139">
      <w:pPr>
        <w:widowControl/>
        <w:spacing w:before="120" w:after="120"/>
        <w:rPr>
          <w:rFonts w:eastAsia="Calibri"/>
          <w:szCs w:val="22"/>
          <w:lang w:eastAsia="en-US"/>
        </w:rPr>
      </w:pPr>
      <w:r w:rsidRPr="00883DE3">
        <w:rPr>
          <w:rFonts w:eastAsia="Calibri"/>
          <w:szCs w:val="22"/>
          <w:lang w:eastAsia="en-US"/>
        </w:rPr>
        <w:t>Kad je riječ o dobrobiti životinja, Komisija je 17. prosinca 2025. zaključila javno savjetovanje o reviziji zakonodavstva EU-a o dobrobiti životinja na poljoprivrednim gospodarstvima za određene životinje, među ostalim o tome trebaju li se i u kojoj mjeri na uvoz životinja i proizvoda životinjskog podrijetla primjenjivati jednakovrijedni standardi dobrobiti životinja. Komisija će na temelju procjene učinka izraditi relevantne prijedloge.</w:t>
      </w:r>
    </w:p>
    <w:p w14:paraId="71BCEB41" w14:textId="1B028FF2" w:rsidR="00E365E1" w:rsidRPr="00C82887" w:rsidRDefault="00883DE3" w:rsidP="003A2139">
      <w:pPr>
        <w:widowControl/>
        <w:spacing w:before="120" w:after="120"/>
      </w:pPr>
      <w:r w:rsidRPr="00883DE3">
        <w:rPr>
          <w:rFonts w:eastAsia="Calibri"/>
          <w:szCs w:val="22"/>
          <w:lang w:eastAsia="en-US"/>
        </w:rPr>
        <w:t xml:space="preserve">Kad je riječ o kontrolama uvoza, Komisija je 9. prosinca 2025. najavila da planira pojačati i poboljšati revizije na terenu u svim trećim zemljama, uključujući uvoz hrane iz zemalja </w:t>
      </w:r>
      <w:proofErr w:type="spellStart"/>
      <w:r w:rsidRPr="00883DE3">
        <w:rPr>
          <w:rFonts w:eastAsia="Calibri"/>
          <w:szCs w:val="22"/>
          <w:lang w:eastAsia="en-US"/>
        </w:rPr>
        <w:t>Mercosura</w:t>
      </w:r>
      <w:proofErr w:type="spellEnd"/>
      <w:r w:rsidRPr="00883DE3">
        <w:rPr>
          <w:rFonts w:eastAsia="Calibri"/>
          <w:szCs w:val="22"/>
          <w:lang w:eastAsia="en-US"/>
        </w:rPr>
        <w:t>. Komisija će u sljedeće dvije godine, počevši od 1. siječnja 2026., povećati svoje revizije povezane s izvozom u trećim zemljama za 50 %. Pojačat će i praćenje nesukladne robe i zemalja i u skladu s time prilagoditi učestalost provjera. Usto će povećati razinu kontrola u EU-u, posebice na glavnim ulaznim točkama. Komisija će u tom kontekstu povećati broj provjera u državama članicama kako bi se osigurala potpuna usklađenost kontrola na granicama sa standardima EU-a te podupirati države članice u pravilnoj provedbi tih provjera. Kako bi osigurala veću učinkovitost kontrola uvoza, Komisija će osnovati posebnu radnu skupinu EU-a čiji će fokus biti na ostacima pesticida, sigurnosti hrane i hrane za životinje i dobrobiti životinja te će razmotriti uvođenje koordiniranih mjera na razini EU-a za praćenje uvezenih proizvoda.</w:t>
      </w:r>
    </w:p>
    <w:sectPr w:rsidR="00E365E1" w:rsidRPr="00C82887" w:rsidSect="00C82887"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E110" w14:textId="77777777" w:rsidR="0011118E" w:rsidRPr="00C82887" w:rsidRDefault="0011118E">
      <w:r w:rsidRPr="00C82887">
        <w:separator/>
      </w:r>
    </w:p>
  </w:endnote>
  <w:endnote w:type="continuationSeparator" w:id="0">
    <w:p w14:paraId="162CC098" w14:textId="77777777" w:rsidR="0011118E" w:rsidRPr="00C82887" w:rsidRDefault="0011118E">
      <w:r w:rsidRPr="00C828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6F66" w14:textId="2FD0EC77" w:rsidR="00883DE3" w:rsidRPr="008D62EB" w:rsidRDefault="00883DE3" w:rsidP="003A21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2938B" w14:textId="77777777" w:rsidR="00064002" w:rsidRPr="00C828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D881" w14:textId="77777777" w:rsidR="00064002" w:rsidRPr="00C8288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BA7F" w14:textId="77777777" w:rsidR="00064002" w:rsidRPr="00C828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B2DA" w14:textId="77777777" w:rsidR="0011118E" w:rsidRPr="00C82887" w:rsidRDefault="0011118E">
      <w:r w:rsidRPr="00C82887">
        <w:separator/>
      </w:r>
    </w:p>
  </w:footnote>
  <w:footnote w:type="continuationSeparator" w:id="0">
    <w:p w14:paraId="7D35C6BB" w14:textId="77777777" w:rsidR="0011118E" w:rsidRPr="00C82887" w:rsidRDefault="0011118E">
      <w:r w:rsidRPr="00C82887">
        <w:continuationSeparator/>
      </w:r>
    </w:p>
  </w:footnote>
  <w:footnote w:id="1">
    <w:p w14:paraId="222EA2A1" w14:textId="0F5416F1" w:rsidR="00BA1717" w:rsidRPr="00A35234" w:rsidRDefault="00BA1717" w:rsidP="00A35234">
      <w:pPr>
        <w:pStyle w:val="FootnoteText"/>
        <w:ind w:left="567" w:hanging="567"/>
        <w:rPr>
          <w:lang w:val="hr-HR"/>
        </w:rPr>
      </w:pPr>
      <w:r w:rsidRPr="00A35234">
        <w:rPr>
          <w:rStyle w:val="FootnoteReference"/>
          <w:lang w:val="hr-HR"/>
        </w:rPr>
        <w:footnoteRef/>
      </w:r>
      <w:r w:rsidRPr="00A35234">
        <w:rPr>
          <w:lang w:val="hr-HR"/>
        </w:rPr>
        <w:t xml:space="preserve"> </w:t>
      </w:r>
      <w:r w:rsidRPr="00A35234">
        <w:rPr>
          <w:lang w:val="hr-HR"/>
        </w:rPr>
        <w:tab/>
      </w:r>
      <w:r w:rsidRPr="00A35234">
        <w:rPr>
          <w:sz w:val="24"/>
          <w:szCs w:val="24"/>
          <w:lang w:val="hr-HR"/>
        </w:rPr>
        <w:t>Ovo stajalište zamjenjuje amandmane usvojene na sjednici 16. prosinca 2025. (Usvojeni tekstovi, P10_TA(2025)0315).</w:t>
      </w:r>
    </w:p>
  </w:footnote>
  <w:footnote w:id="2">
    <w:p w14:paraId="70B82D4D" w14:textId="0326B437" w:rsidR="00A35234" w:rsidRPr="00A35234" w:rsidRDefault="00A35234" w:rsidP="00A35234">
      <w:pPr>
        <w:pStyle w:val="FootnoteText"/>
        <w:ind w:left="567" w:hanging="567"/>
        <w:rPr>
          <w:sz w:val="24"/>
          <w:szCs w:val="24"/>
          <w:lang w:val="hr-HR"/>
        </w:rPr>
      </w:pPr>
      <w:r w:rsidRPr="00A35234">
        <w:rPr>
          <w:rStyle w:val="FootnoteReference"/>
          <w:sz w:val="24"/>
          <w:szCs w:val="24"/>
        </w:rPr>
        <w:footnoteRef/>
      </w:r>
      <w:r w:rsidRPr="00A35234">
        <w:rPr>
          <w:sz w:val="24"/>
          <w:szCs w:val="24"/>
          <w:lang w:val="fi-FI"/>
        </w:rPr>
        <w:t xml:space="preserve"> </w:t>
      </w:r>
      <w:r w:rsidRPr="00A35234">
        <w:rPr>
          <w:sz w:val="24"/>
          <w:szCs w:val="24"/>
          <w:lang w:val="hr-HR"/>
        </w:rPr>
        <w:tab/>
      </w:r>
      <w:r>
        <w:rPr>
          <w:sz w:val="24"/>
          <w:szCs w:val="24"/>
          <w:lang w:val="hr-HR" w:eastAsia="en-GB"/>
        </w:rPr>
        <w:t>SL</w:t>
      </w:r>
      <w:r w:rsidRPr="00A35234">
        <w:rPr>
          <w:sz w:val="24"/>
          <w:szCs w:val="24"/>
          <w:lang w:val="sk-SK" w:eastAsia="en-GB"/>
        </w:rPr>
        <w:t xml:space="preserve"> L, 2026/687, 19.3.2026</w:t>
      </w:r>
      <w:r>
        <w:rPr>
          <w:sz w:val="24"/>
          <w:szCs w:val="24"/>
          <w:lang w:val="sk-SK" w:eastAsia="en-GB"/>
        </w:rPr>
        <w:t>.</w:t>
      </w:r>
      <w:r w:rsidRPr="00A35234">
        <w:rPr>
          <w:sz w:val="24"/>
          <w:szCs w:val="24"/>
          <w:lang w:val="sk-SK" w:eastAsia="en-GB"/>
        </w:rPr>
        <w:t xml:space="preserve">, ELI: </w:t>
      </w:r>
      <w:hyperlink r:id="rId1" w:history="1">
        <w:r w:rsidRPr="00A35234">
          <w:rPr>
            <w:color w:val="0000FF"/>
            <w:sz w:val="24"/>
            <w:szCs w:val="24"/>
            <w:u w:val="single"/>
            <w:lang w:val="sk-SK" w:eastAsia="en-GB"/>
          </w:rPr>
          <w:t>http://data.europa.eu/eli/reg/2026/687/oj</w:t>
        </w:r>
      </w:hyperlink>
      <w:r w:rsidRPr="00A35234">
        <w:rPr>
          <w:sz w:val="24"/>
          <w:szCs w:val="24"/>
          <w:lang w:val="sk-SK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989C" w14:textId="77777777" w:rsidR="00064002" w:rsidRPr="00C828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642C" w14:textId="77777777" w:rsidR="00064002" w:rsidRPr="00C828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9239" w14:textId="77777777" w:rsidR="00064002" w:rsidRPr="00C828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5445270">
    <w:abstractNumId w:val="9"/>
  </w:num>
  <w:num w:numId="2" w16cid:durableId="1351178608">
    <w:abstractNumId w:val="9"/>
  </w:num>
  <w:num w:numId="3" w16cid:durableId="1673602642">
    <w:abstractNumId w:val="7"/>
  </w:num>
  <w:num w:numId="4" w16cid:durableId="1959725770">
    <w:abstractNumId w:val="7"/>
  </w:num>
  <w:num w:numId="5" w16cid:durableId="937447679">
    <w:abstractNumId w:val="6"/>
  </w:num>
  <w:num w:numId="6" w16cid:durableId="1755475479">
    <w:abstractNumId w:val="6"/>
  </w:num>
  <w:num w:numId="7" w16cid:durableId="508258301">
    <w:abstractNumId w:val="5"/>
  </w:num>
  <w:num w:numId="8" w16cid:durableId="1631982968">
    <w:abstractNumId w:val="5"/>
  </w:num>
  <w:num w:numId="9" w16cid:durableId="367292896">
    <w:abstractNumId w:val="4"/>
  </w:num>
  <w:num w:numId="10" w16cid:durableId="448475270">
    <w:abstractNumId w:val="4"/>
  </w:num>
  <w:num w:numId="11" w16cid:durableId="191504309">
    <w:abstractNumId w:val="8"/>
  </w:num>
  <w:num w:numId="12" w16cid:durableId="1728869466">
    <w:abstractNumId w:val="8"/>
  </w:num>
  <w:num w:numId="13" w16cid:durableId="656803124">
    <w:abstractNumId w:val="3"/>
  </w:num>
  <w:num w:numId="14" w16cid:durableId="1989554136">
    <w:abstractNumId w:val="3"/>
  </w:num>
  <w:num w:numId="15" w16cid:durableId="1700425372">
    <w:abstractNumId w:val="2"/>
  </w:num>
  <w:num w:numId="16" w16cid:durableId="37321290">
    <w:abstractNumId w:val="2"/>
  </w:num>
  <w:num w:numId="17" w16cid:durableId="1004043910">
    <w:abstractNumId w:val="1"/>
  </w:num>
  <w:num w:numId="18" w16cid:durableId="1852330393">
    <w:abstractNumId w:val="1"/>
  </w:num>
  <w:num w:numId="19" w16cid:durableId="384717465">
    <w:abstractNumId w:val="0"/>
  </w:num>
  <w:num w:numId="20" w16cid:durableId="1132363282">
    <w:abstractNumId w:val="0"/>
  </w:num>
  <w:num w:numId="21" w16cid:durableId="1776972009">
    <w:abstractNumId w:val="9"/>
  </w:num>
  <w:num w:numId="22" w16cid:durableId="620261846">
    <w:abstractNumId w:val="7"/>
  </w:num>
  <w:num w:numId="23" w16cid:durableId="1673799298">
    <w:abstractNumId w:val="6"/>
  </w:num>
  <w:num w:numId="24" w16cid:durableId="611673778">
    <w:abstractNumId w:val="5"/>
  </w:num>
  <w:num w:numId="25" w16cid:durableId="652373620">
    <w:abstractNumId w:val="4"/>
  </w:num>
  <w:num w:numId="26" w16cid:durableId="122964928">
    <w:abstractNumId w:val="8"/>
  </w:num>
  <w:num w:numId="27" w16cid:durableId="154498688">
    <w:abstractNumId w:val="3"/>
  </w:num>
  <w:num w:numId="28" w16cid:durableId="952515188">
    <w:abstractNumId w:val="2"/>
  </w:num>
  <w:num w:numId="29" w16cid:durableId="1599286434">
    <w:abstractNumId w:val="1"/>
  </w:num>
  <w:num w:numId="30" w16cid:durableId="1182015036">
    <w:abstractNumId w:val="0"/>
  </w:num>
  <w:num w:numId="31" w16cid:durableId="1670712378">
    <w:abstractNumId w:val="9"/>
  </w:num>
  <w:num w:numId="32" w16cid:durableId="1516460214">
    <w:abstractNumId w:val="7"/>
  </w:num>
  <w:num w:numId="33" w16cid:durableId="1876768221">
    <w:abstractNumId w:val="6"/>
  </w:num>
  <w:num w:numId="34" w16cid:durableId="199438345">
    <w:abstractNumId w:val="5"/>
  </w:num>
  <w:num w:numId="35" w16cid:durableId="1157528161">
    <w:abstractNumId w:val="4"/>
  </w:num>
  <w:num w:numId="36" w16cid:durableId="1206527292">
    <w:abstractNumId w:val="8"/>
  </w:num>
  <w:num w:numId="37" w16cid:durableId="72358235">
    <w:abstractNumId w:val="3"/>
  </w:num>
  <w:num w:numId="38" w16cid:durableId="1462190309">
    <w:abstractNumId w:val="2"/>
  </w:num>
  <w:num w:numId="39" w16cid:durableId="846283986">
    <w:abstractNumId w:val="1"/>
  </w:num>
  <w:num w:numId="40" w16cid:durableId="1936789796">
    <w:abstractNumId w:val="0"/>
  </w:num>
  <w:num w:numId="41" w16cid:durableId="250050057">
    <w:abstractNumId w:val="10"/>
  </w:num>
  <w:num w:numId="42" w16cid:durableId="648751343">
    <w:abstractNumId w:val="10"/>
  </w:num>
  <w:num w:numId="43" w16cid:durableId="1145121860">
    <w:abstractNumId w:val="10"/>
  </w:num>
  <w:num w:numId="44" w16cid:durableId="16122769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HR"/>
    <w:docVar w:name="dvnumam" w:val="0"/>
    <w:docVar w:name="dvpe" w:val="779.615"/>
    <w:docVar w:name="dvrapporteur" w:val="Izvjestitelj: "/>
    <w:docVar w:name="dvstar" w:val="***I"/>
    <w:docVar w:name="dvtitre" w:val="Zakonodavna rezolucija Europskog parlamenta od .... 2025. o Prijedlogu uredbe Europskog parlamenta i Vijeća o provedbi bilateralne zaštitne klauzule iz Sporazuma o partnerstvu između EU-a i Mercosura i Privremenog sporazuma o trgovini između EU-a i Mercosura za poljoprivredne proizvode (COM(2025)0639 – C10-0247/2025 – 2025/0322(COD))"/>
  </w:docVars>
  <w:rsids>
    <w:rsidRoot w:val="0011118E"/>
    <w:rsid w:val="00002272"/>
    <w:rsid w:val="00064002"/>
    <w:rsid w:val="000677B9"/>
    <w:rsid w:val="000831BA"/>
    <w:rsid w:val="000A42CC"/>
    <w:rsid w:val="000E7DD9"/>
    <w:rsid w:val="0010095E"/>
    <w:rsid w:val="0011118E"/>
    <w:rsid w:val="00125B37"/>
    <w:rsid w:val="001616F7"/>
    <w:rsid w:val="00187494"/>
    <w:rsid w:val="001F32AE"/>
    <w:rsid w:val="00226CC9"/>
    <w:rsid w:val="002767FF"/>
    <w:rsid w:val="002B18FE"/>
    <w:rsid w:val="002B5493"/>
    <w:rsid w:val="00343214"/>
    <w:rsid w:val="00361C00"/>
    <w:rsid w:val="00395FA1"/>
    <w:rsid w:val="003A2139"/>
    <w:rsid w:val="003E15D4"/>
    <w:rsid w:val="00411CCE"/>
    <w:rsid w:val="0041666E"/>
    <w:rsid w:val="00421060"/>
    <w:rsid w:val="00426377"/>
    <w:rsid w:val="00471C19"/>
    <w:rsid w:val="004867E3"/>
    <w:rsid w:val="00494A28"/>
    <w:rsid w:val="004C0004"/>
    <w:rsid w:val="004C5D52"/>
    <w:rsid w:val="00503E08"/>
    <w:rsid w:val="0050519A"/>
    <w:rsid w:val="005072A1"/>
    <w:rsid w:val="00514517"/>
    <w:rsid w:val="00545827"/>
    <w:rsid w:val="00560270"/>
    <w:rsid w:val="005C2568"/>
    <w:rsid w:val="005F1B17"/>
    <w:rsid w:val="006037C0"/>
    <w:rsid w:val="00613BD4"/>
    <w:rsid w:val="006631B6"/>
    <w:rsid w:val="00680577"/>
    <w:rsid w:val="006B52C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DE3"/>
    <w:rsid w:val="008840E5"/>
    <w:rsid w:val="00887B3E"/>
    <w:rsid w:val="008B0CF6"/>
    <w:rsid w:val="008C2AC6"/>
    <w:rsid w:val="008D62EB"/>
    <w:rsid w:val="00911221"/>
    <w:rsid w:val="00930C23"/>
    <w:rsid w:val="0093193B"/>
    <w:rsid w:val="009509D8"/>
    <w:rsid w:val="00950B64"/>
    <w:rsid w:val="00981893"/>
    <w:rsid w:val="00A1687D"/>
    <w:rsid w:val="00A3523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4F9"/>
    <w:rsid w:val="00B558F0"/>
    <w:rsid w:val="00B62371"/>
    <w:rsid w:val="00B76A44"/>
    <w:rsid w:val="00BA1717"/>
    <w:rsid w:val="00BD48FE"/>
    <w:rsid w:val="00BD7BD8"/>
    <w:rsid w:val="00BE6ADC"/>
    <w:rsid w:val="00BF1DBE"/>
    <w:rsid w:val="00C05BFE"/>
    <w:rsid w:val="00C23CD4"/>
    <w:rsid w:val="00C61C0C"/>
    <w:rsid w:val="00C82887"/>
    <w:rsid w:val="00C941CB"/>
    <w:rsid w:val="00CC2357"/>
    <w:rsid w:val="00CF071A"/>
    <w:rsid w:val="00D058B8"/>
    <w:rsid w:val="00D437E0"/>
    <w:rsid w:val="00D56C11"/>
    <w:rsid w:val="00D834A0"/>
    <w:rsid w:val="00D872DF"/>
    <w:rsid w:val="00D91E21"/>
    <w:rsid w:val="00DA7FCD"/>
    <w:rsid w:val="00E365E1"/>
    <w:rsid w:val="00E820A4"/>
    <w:rsid w:val="00EA2FF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7CCC8"/>
  <w15:chartTrackingRefBased/>
  <w15:docId w15:val="{85DBFCB1-1758-4206-8EEB-F7EC194D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76A44"/>
    <w:pPr>
      <w:spacing w:after="120"/>
    </w:pPr>
  </w:style>
  <w:style w:type="paragraph" w:customStyle="1" w:styleId="NormalBold">
    <w:name w:val="NormalBold"/>
    <w:basedOn w:val="Normal"/>
    <w:link w:val="NormalBoldChar"/>
    <w:rsid w:val="00B76A44"/>
    <w:rPr>
      <w:b/>
    </w:rPr>
  </w:style>
  <w:style w:type="paragraph" w:customStyle="1" w:styleId="NormalHanging12a">
    <w:name w:val="NormalHanging12a"/>
    <w:basedOn w:val="Normal"/>
    <w:rsid w:val="00B76A4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76A4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76A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76A44"/>
    <w:pPr>
      <w:spacing w:before="240"/>
    </w:pPr>
    <w:rPr>
      <w:b/>
    </w:rPr>
  </w:style>
  <w:style w:type="paragraph" w:customStyle="1" w:styleId="EPComma">
    <w:name w:val="EPComma"/>
    <w:basedOn w:val="Normal"/>
    <w:rsid w:val="00B76A4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76A44"/>
    <w:rPr>
      <w:b/>
      <w:sz w:val="24"/>
      <w:lang w:val="hr-HR"/>
    </w:rPr>
  </w:style>
  <w:style w:type="paragraph" w:styleId="Revision">
    <w:name w:val="Revision"/>
    <w:hidden/>
    <w:uiPriority w:val="99"/>
    <w:semiHidden/>
    <w:rsid w:val="00911221"/>
    <w:rPr>
      <w:sz w:val="24"/>
      <w:lang w:val="hr-HR"/>
    </w:rPr>
  </w:style>
  <w:style w:type="character" w:styleId="Hyperlink">
    <w:name w:val="Hyperlink"/>
    <w:basedOn w:val="DefaultParagraphFont"/>
    <w:rsid w:val="00161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6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616F7"/>
    <w:rPr>
      <w:color w:val="954F72" w:themeColor="followedHyperlink"/>
      <w:u w:val="single"/>
    </w:rPr>
  </w:style>
  <w:style w:type="paragraph" w:customStyle="1" w:styleId="EPFooter2">
    <w:name w:val="EPFooter2"/>
    <w:basedOn w:val="Normal"/>
    <w:next w:val="Normal"/>
    <w:rsid w:val="00883DE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883DE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883DE3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883DE3"/>
    <w:pPr>
      <w:widowControl/>
    </w:pPr>
    <w:rPr>
      <w:sz w:val="20"/>
    </w:rPr>
  </w:style>
  <w:style w:type="paragraph" w:styleId="Header">
    <w:name w:val="header"/>
    <w:basedOn w:val="Normal"/>
    <w:link w:val="HeaderChar"/>
    <w:rsid w:val="008D62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D62EB"/>
    <w:rPr>
      <w:sz w:val="24"/>
      <w:lang w:val="hr-HR"/>
    </w:rPr>
  </w:style>
  <w:style w:type="paragraph" w:styleId="Footer">
    <w:name w:val="footer"/>
    <w:basedOn w:val="Normal"/>
    <w:link w:val="FooterChar"/>
    <w:rsid w:val="008D62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D62E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812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2026-04-14T15:01:00Z</dcterms:created>
  <dcterms:modified xsi:type="dcterms:W3CDTF">2026-04-14T15:01:00Z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P10_TA(2026)0030_</vt:lpwstr>
  </property>
  <property fmtid="{D5CDD505-2E9C-101B-9397-08002B2CF9AE}" pid="4" name="&lt;Type&gt;">
    <vt:lpwstr>RR</vt:lpwstr>
  </property>
</Properties>
</file>