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365" w14:paraId="49320071" w14:textId="77777777" w:rsidTr="0010095E">
        <w:trPr>
          <w:trHeight w:hRule="exact" w:val="1418"/>
        </w:trPr>
        <w:tc>
          <w:tcPr>
            <w:tcW w:w="6804" w:type="dxa"/>
            <w:shd w:val="clear" w:color="auto" w:fill="auto"/>
            <w:vAlign w:val="center"/>
          </w:tcPr>
          <w:p w14:paraId="43C2ECA5" w14:textId="77777777" w:rsidR="00751A4A" w:rsidRPr="00F65365" w:rsidRDefault="00EE0E63" w:rsidP="0010095E">
            <w:pPr>
              <w:pStyle w:val="EPName"/>
            </w:pPr>
            <w:r w:rsidRPr="00F65365">
              <w:t>Eiropas Parlaments</w:t>
            </w:r>
          </w:p>
          <w:p w14:paraId="27FD5853" w14:textId="77777777" w:rsidR="00751A4A" w:rsidRPr="00F65365" w:rsidRDefault="005F1B17" w:rsidP="005F1B17">
            <w:pPr>
              <w:pStyle w:val="EPTerm"/>
              <w:rPr>
                <w:rStyle w:val="HideTWBExt"/>
                <w:noProof w:val="0"/>
                <w:vanish w:val="0"/>
                <w:color w:val="auto"/>
              </w:rPr>
            </w:pPr>
            <w:r w:rsidRPr="00F65365">
              <w:t>2024</w:t>
            </w:r>
            <w:r w:rsidR="00817416" w:rsidRPr="00F65365">
              <w:t>-202</w:t>
            </w:r>
            <w:r w:rsidRPr="00F65365">
              <w:t>9</w:t>
            </w:r>
          </w:p>
        </w:tc>
        <w:tc>
          <w:tcPr>
            <w:tcW w:w="2268" w:type="dxa"/>
            <w:shd w:val="clear" w:color="auto" w:fill="auto"/>
          </w:tcPr>
          <w:p w14:paraId="3D322E96" w14:textId="77777777" w:rsidR="00751A4A" w:rsidRPr="00F65365" w:rsidRDefault="00187494" w:rsidP="0010095E">
            <w:pPr>
              <w:pStyle w:val="EPLogo"/>
            </w:pPr>
            <w:r w:rsidRPr="00F65365">
              <w:rPr>
                <w:noProof/>
                <w:lang w:eastAsia="ja-JP"/>
              </w:rPr>
              <w:drawing>
                <wp:inline distT="0" distB="0" distL="0" distR="0" wp14:anchorId="73922B7C" wp14:editId="499B18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47C1A0" w14:textId="77777777" w:rsidR="00D058B8" w:rsidRPr="00F65365" w:rsidRDefault="00D058B8" w:rsidP="004C5D52">
      <w:pPr>
        <w:pStyle w:val="LineTop"/>
      </w:pPr>
    </w:p>
    <w:p w14:paraId="41DBD10B" w14:textId="77777777" w:rsidR="00680577" w:rsidRPr="00F65365" w:rsidRDefault="00EE0E63" w:rsidP="00680577">
      <w:pPr>
        <w:pStyle w:val="EPBodyTA1"/>
      </w:pPr>
      <w:r w:rsidRPr="00F65365">
        <w:t>PIEŅEMTIE TEKSTI</w:t>
      </w:r>
    </w:p>
    <w:p w14:paraId="28EF7C7F" w14:textId="77777777" w:rsidR="00D058B8" w:rsidRPr="00F65365" w:rsidRDefault="00D058B8" w:rsidP="00D058B8">
      <w:pPr>
        <w:pStyle w:val="LineBottom"/>
      </w:pPr>
    </w:p>
    <w:p w14:paraId="0687E464" w14:textId="3F39DF0E" w:rsidR="00EE0E63" w:rsidRPr="00F65365" w:rsidRDefault="00EE0E63" w:rsidP="00EE0E63">
      <w:pPr>
        <w:pStyle w:val="ATHeading1"/>
      </w:pPr>
      <w:bookmarkStart w:id="0" w:name="TANumber"/>
      <w:r w:rsidRPr="00F65365">
        <w:t>P10_TA(202</w:t>
      </w:r>
      <w:r w:rsidR="0098376D">
        <w:t>6</w:t>
      </w:r>
      <w:r w:rsidRPr="00F65365">
        <w:t>)00</w:t>
      </w:r>
      <w:r w:rsidR="005E6068" w:rsidRPr="00F65365">
        <w:t>30</w:t>
      </w:r>
      <w:bookmarkEnd w:id="0"/>
    </w:p>
    <w:p w14:paraId="2651720C" w14:textId="2BA24499" w:rsidR="00EE0E63" w:rsidRPr="00F65365" w:rsidRDefault="0005529A" w:rsidP="0005529A">
      <w:pPr>
        <w:pStyle w:val="ATHeading2"/>
      </w:pPr>
      <w:bookmarkStart w:id="1" w:name="title"/>
      <w:r w:rsidRPr="00F65365">
        <w:t>Divpus</w:t>
      </w:r>
      <w:r w:rsidRPr="00F65365">
        <w:rPr>
          <w:rFonts w:hint="eastAsia"/>
        </w:rPr>
        <w:t>ē</w:t>
      </w:r>
      <w:r w:rsidRPr="00F65365">
        <w:t>jas aizsardz</w:t>
      </w:r>
      <w:r w:rsidRPr="00F65365">
        <w:rPr>
          <w:rFonts w:hint="eastAsia"/>
        </w:rPr>
        <w:t>ī</w:t>
      </w:r>
      <w:r w:rsidRPr="00F65365">
        <w:t>bas pas</w:t>
      </w:r>
      <w:r w:rsidRPr="00F65365">
        <w:rPr>
          <w:rFonts w:hint="eastAsia"/>
        </w:rPr>
        <w:t>ā</w:t>
      </w:r>
      <w:r w:rsidRPr="00F65365">
        <w:t xml:space="preserve">kumu klauzulas </w:t>
      </w:r>
      <w:r w:rsidRPr="00F65365">
        <w:rPr>
          <w:rFonts w:hint="eastAsia"/>
        </w:rPr>
        <w:t>ī</w:t>
      </w:r>
      <w:r w:rsidRPr="00F65365">
        <w:t>steno</w:t>
      </w:r>
      <w:r w:rsidRPr="00F65365">
        <w:rPr>
          <w:rFonts w:hint="eastAsia"/>
        </w:rPr>
        <w:t>š</w:t>
      </w:r>
      <w:r w:rsidRPr="00F65365">
        <w:t xml:space="preserve">ana ES un </w:t>
      </w:r>
      <w:proofErr w:type="spellStart"/>
      <w:r w:rsidRPr="00F65365">
        <w:rPr>
          <w:i/>
          <w:iCs/>
        </w:rPr>
        <w:t>Mercosur</w:t>
      </w:r>
      <w:proofErr w:type="spellEnd"/>
      <w:r w:rsidRPr="00F65365">
        <w:t xml:space="preserve"> Partner</w:t>
      </w:r>
      <w:r w:rsidRPr="00F65365">
        <w:rPr>
          <w:rFonts w:hint="eastAsia"/>
        </w:rPr>
        <w:t>ī</w:t>
      </w:r>
      <w:r w:rsidRPr="00F65365">
        <w:t>bas nol</w:t>
      </w:r>
      <w:r w:rsidRPr="00F65365">
        <w:rPr>
          <w:rFonts w:hint="eastAsia"/>
        </w:rPr>
        <w:t>ī</w:t>
      </w:r>
      <w:r w:rsidRPr="00F65365">
        <w:t>gum</w:t>
      </w:r>
      <w:r w:rsidRPr="00F65365">
        <w:rPr>
          <w:rFonts w:hint="eastAsia"/>
        </w:rPr>
        <w:t>ā</w:t>
      </w:r>
      <w:r w:rsidRPr="00F65365">
        <w:t xml:space="preserve"> un ES un </w:t>
      </w:r>
      <w:proofErr w:type="spellStart"/>
      <w:r w:rsidRPr="00F65365">
        <w:rPr>
          <w:i/>
          <w:iCs/>
        </w:rPr>
        <w:t>Mercosur</w:t>
      </w:r>
      <w:proofErr w:type="spellEnd"/>
      <w:r w:rsidRPr="00F65365">
        <w:t xml:space="preserve"> Pagaidu nol</w:t>
      </w:r>
      <w:r w:rsidRPr="00F65365">
        <w:rPr>
          <w:rFonts w:hint="eastAsia"/>
        </w:rPr>
        <w:t>ī</w:t>
      </w:r>
      <w:r w:rsidRPr="00F65365">
        <w:t>gum</w:t>
      </w:r>
      <w:r w:rsidRPr="00F65365">
        <w:rPr>
          <w:rFonts w:hint="eastAsia"/>
        </w:rPr>
        <w:t>ā</w:t>
      </w:r>
      <w:r w:rsidRPr="00F65365">
        <w:t xml:space="preserve"> attiec</w:t>
      </w:r>
      <w:r w:rsidRPr="00F65365">
        <w:rPr>
          <w:rFonts w:hint="eastAsia"/>
        </w:rPr>
        <w:t>ī</w:t>
      </w:r>
      <w:r w:rsidRPr="00F65365">
        <w:t>b</w:t>
      </w:r>
      <w:r w:rsidRPr="00F65365">
        <w:rPr>
          <w:rFonts w:hint="eastAsia"/>
        </w:rPr>
        <w:t>ā</w:t>
      </w:r>
      <w:r w:rsidRPr="00F65365">
        <w:t xml:space="preserve"> uz lauksaimniec</w:t>
      </w:r>
      <w:r w:rsidRPr="00F65365">
        <w:rPr>
          <w:rFonts w:hint="eastAsia"/>
        </w:rPr>
        <w:t>ī</w:t>
      </w:r>
      <w:r w:rsidRPr="00F65365">
        <w:t>bas produktiem</w:t>
      </w:r>
      <w:bookmarkEnd w:id="1"/>
    </w:p>
    <w:p w14:paraId="1D910629" w14:textId="77777777" w:rsidR="00EE0E63" w:rsidRPr="00F65365" w:rsidRDefault="00EE0E63" w:rsidP="00EE0E63">
      <w:pPr>
        <w:rPr>
          <w:i/>
          <w:vanish/>
        </w:rPr>
      </w:pPr>
      <w:r w:rsidRPr="00F65365">
        <w:rPr>
          <w:i/>
        </w:rPr>
        <w:fldChar w:fldCharType="begin"/>
      </w:r>
      <w:r w:rsidRPr="00F65365">
        <w:rPr>
          <w:i/>
        </w:rPr>
        <w:instrText xml:space="preserve"> TC"(</w:instrText>
      </w:r>
      <w:bookmarkStart w:id="2" w:name="DocNumber"/>
      <w:r w:rsidRPr="00F65365">
        <w:rPr>
          <w:i/>
        </w:rPr>
        <w:instrText>A10-0254/2025</w:instrText>
      </w:r>
      <w:bookmarkEnd w:id="2"/>
      <w:r w:rsidRPr="00F65365">
        <w:rPr>
          <w:i/>
        </w:rPr>
        <w:instrText xml:space="preserve"> - Referents: Gabriel Mato)"\l3 \n&gt; \* MERGEFORMAT </w:instrText>
      </w:r>
      <w:r w:rsidRPr="00F65365">
        <w:rPr>
          <w:i/>
        </w:rPr>
        <w:fldChar w:fldCharType="end"/>
      </w:r>
    </w:p>
    <w:p w14:paraId="5FA61787" w14:textId="77777777" w:rsidR="00EE0E63" w:rsidRPr="00F65365" w:rsidRDefault="00EE0E63" w:rsidP="00EE0E63">
      <w:pPr>
        <w:rPr>
          <w:vanish/>
        </w:rPr>
      </w:pPr>
      <w:bookmarkStart w:id="3" w:name="Commission"/>
      <w:r w:rsidRPr="00F65365">
        <w:rPr>
          <w:vanish/>
        </w:rPr>
        <w:t>Starptautiskās tirdzniecības komiteja</w:t>
      </w:r>
      <w:bookmarkEnd w:id="3"/>
    </w:p>
    <w:p w14:paraId="01E17E92" w14:textId="77777777" w:rsidR="00EE0E63" w:rsidRPr="00F65365" w:rsidRDefault="00EE0E63" w:rsidP="00EE0E63">
      <w:pPr>
        <w:rPr>
          <w:vanish/>
        </w:rPr>
      </w:pPr>
      <w:bookmarkStart w:id="4" w:name="PE"/>
      <w:r w:rsidRPr="00F65365">
        <w:rPr>
          <w:vanish/>
        </w:rPr>
        <w:t>PE779.615</w:t>
      </w:r>
      <w:bookmarkEnd w:id="4"/>
    </w:p>
    <w:p w14:paraId="42C1696D" w14:textId="766C7C41" w:rsidR="00EE0E63" w:rsidRPr="00F65365" w:rsidRDefault="00EE0E63" w:rsidP="00EE0E63">
      <w:pPr>
        <w:pStyle w:val="ATHeading3"/>
      </w:pPr>
      <w:bookmarkStart w:id="5" w:name="Sujet"/>
      <w:r w:rsidRPr="00F65365">
        <w:t>Eiropas Parlamenta 202</w:t>
      </w:r>
      <w:r w:rsidR="00E5733E" w:rsidRPr="00F65365">
        <w:t>6</w:t>
      </w:r>
      <w:r w:rsidRPr="00F65365">
        <w:t xml:space="preserve">. gada </w:t>
      </w:r>
      <w:r w:rsidR="0003231F" w:rsidRPr="00F65365">
        <w:t>10. februāra</w:t>
      </w:r>
      <w:r w:rsidRPr="00F65365">
        <w:t xml:space="preserve"> normatīvā rezolūcija par priekšlikumu Eiropas Parlamenta un Padomes regulai, </w:t>
      </w:r>
      <w:bookmarkEnd w:id="5"/>
      <w:r w:rsidR="00872819" w:rsidRPr="0042619E">
        <w:rPr>
          <w:noProof/>
        </w:rPr>
        <w:t xml:space="preserve">ar ko attiecībā uz lauksaimniecības produktiem īsteno divpusējas aizsardzības pasākumu klauzulu ES un </w:t>
      </w:r>
      <w:r w:rsidR="00872819" w:rsidRPr="0042619E">
        <w:rPr>
          <w:i/>
          <w:noProof/>
        </w:rPr>
        <w:t>Mercosur</w:t>
      </w:r>
      <w:r w:rsidR="00872819" w:rsidRPr="0042619E">
        <w:rPr>
          <w:noProof/>
        </w:rPr>
        <w:t xml:space="preserve"> Partnerības nolīgumā un ES un </w:t>
      </w:r>
      <w:r w:rsidR="00872819" w:rsidRPr="0042619E">
        <w:rPr>
          <w:i/>
          <w:noProof/>
        </w:rPr>
        <w:t>Mercosur</w:t>
      </w:r>
      <w:r w:rsidR="00872819" w:rsidRPr="0042619E">
        <w:rPr>
          <w:noProof/>
        </w:rPr>
        <w:t xml:space="preserve"> Pagaidu nolīgumā par tirdzniecību</w:t>
      </w:r>
      <w:r w:rsidRPr="00F65365">
        <w:t xml:space="preserve"> </w:t>
      </w:r>
      <w:bookmarkStart w:id="6" w:name="References"/>
      <w:r w:rsidRPr="00F65365">
        <w:t>(COM(2025)0639 – C10-0247/2025 – 2025/0322(COD))</w:t>
      </w:r>
      <w:bookmarkEnd w:id="6"/>
    </w:p>
    <w:p w14:paraId="72377C81" w14:textId="77777777" w:rsidR="00921712" w:rsidRPr="00F65365" w:rsidRDefault="00921712" w:rsidP="00921712">
      <w:pPr>
        <w:pStyle w:val="NormalBold"/>
      </w:pPr>
      <w:r w:rsidRPr="00F65365">
        <w:t>(Parastā likumdošanas procedūra: pirmais lasījums)</w:t>
      </w:r>
    </w:p>
    <w:p w14:paraId="55B05813" w14:textId="77777777" w:rsidR="00921712" w:rsidRPr="00F65365" w:rsidRDefault="00921712" w:rsidP="00921712">
      <w:pPr>
        <w:pStyle w:val="EPComma"/>
      </w:pPr>
      <w:r w:rsidRPr="00F65365">
        <w:rPr>
          <w:i/>
        </w:rPr>
        <w:t>Eiropas Parlaments</w:t>
      </w:r>
      <w:r w:rsidRPr="00F65365">
        <w:t>,</w:t>
      </w:r>
    </w:p>
    <w:p w14:paraId="692FAA71" w14:textId="77777777" w:rsidR="00921712" w:rsidRPr="00F65365" w:rsidRDefault="00921712" w:rsidP="00921712">
      <w:pPr>
        <w:pStyle w:val="NormalHanging12a"/>
      </w:pPr>
      <w:r w:rsidRPr="00F65365">
        <w:t>–</w:t>
      </w:r>
      <w:r w:rsidRPr="00F65365">
        <w:tab/>
        <w:t>ņemot vērā Komisijas priekšlikumu Eiropas Parlamentam un Padomei (COM(2025)0639),</w:t>
      </w:r>
    </w:p>
    <w:p w14:paraId="64AA8D36" w14:textId="77777777" w:rsidR="00921712" w:rsidRPr="00F65365" w:rsidRDefault="00921712" w:rsidP="00921712">
      <w:pPr>
        <w:pStyle w:val="NormalHanging12a"/>
      </w:pPr>
      <w:r w:rsidRPr="00F65365">
        <w:t>–</w:t>
      </w:r>
      <w:r w:rsidRPr="00F65365">
        <w:tab/>
        <w:t>ņemot vērā Līguma par Eiropas Savienības darbību 294. panta 2. punktu un 207. panta 2. punktu, saskaņā ar kuriem Komisija tam ir iesniegusi priekšlikumu (C10</w:t>
      </w:r>
      <w:r w:rsidRPr="00F65365">
        <w:noBreakHyphen/>
        <w:t>0247/2025),</w:t>
      </w:r>
    </w:p>
    <w:p w14:paraId="7DF83A7D" w14:textId="77777777" w:rsidR="00921712" w:rsidRPr="00F65365" w:rsidRDefault="00921712" w:rsidP="00921712">
      <w:pPr>
        <w:pStyle w:val="NormalHanging12a"/>
      </w:pPr>
      <w:r w:rsidRPr="00F65365">
        <w:t>–</w:t>
      </w:r>
      <w:r w:rsidRPr="00F65365">
        <w:tab/>
        <w:t>ņemot vērā Līguma par Eiropas Savienības darbību 294. panta 3. punktu,</w:t>
      </w:r>
    </w:p>
    <w:p w14:paraId="1D356459" w14:textId="697DF767" w:rsidR="0003231F" w:rsidRPr="00F65365" w:rsidRDefault="0003231F" w:rsidP="0003231F">
      <w:pPr>
        <w:pStyle w:val="NormalHanging12a"/>
        <w:numPr>
          <w:ilvl w:val="0"/>
          <w:numId w:val="46"/>
        </w:numPr>
        <w:ind w:left="567" w:hanging="567"/>
      </w:pPr>
      <w:r w:rsidRPr="00F65365">
        <w:t>ņemot vērā provizorisko vienošanos, ko atbildīgā komiteja apstiprināja saskaņā ar Reglamenta 75. panta 4. punktu, un Padomes pārstāvja 202</w:t>
      </w:r>
      <w:r w:rsidR="00E5733E" w:rsidRPr="00F65365">
        <w:t>6</w:t>
      </w:r>
      <w:r w:rsidRPr="00F65365">
        <w:t xml:space="preserve">. gada </w:t>
      </w:r>
      <w:r w:rsidR="00E5733E" w:rsidRPr="00F65365">
        <w:t>9. janvāra</w:t>
      </w:r>
      <w:r w:rsidRPr="00F65365">
        <w:t xml:space="preserve"> vēstulē pausto apņemšanos apstiprināt Parlamenta nostāju saskaņā ar Līguma par Eiropas Savienības darbību 294. panta 4. punktu,</w:t>
      </w:r>
    </w:p>
    <w:p w14:paraId="36E8C080" w14:textId="77777777" w:rsidR="00921712" w:rsidRPr="00F65365" w:rsidRDefault="00921712" w:rsidP="00921712">
      <w:pPr>
        <w:pStyle w:val="NormalHanging12a"/>
      </w:pPr>
      <w:r w:rsidRPr="00F65365">
        <w:t>–</w:t>
      </w:r>
      <w:r w:rsidRPr="00F65365">
        <w:tab/>
        <w:t>ņemot vērā Reglamenta 60. pantu,</w:t>
      </w:r>
    </w:p>
    <w:p w14:paraId="1A2DC857" w14:textId="77777777" w:rsidR="00921712" w:rsidRPr="00F65365" w:rsidRDefault="00921712" w:rsidP="00921712">
      <w:pPr>
        <w:pStyle w:val="NormalHanging12a"/>
      </w:pPr>
      <w:r w:rsidRPr="00F65365">
        <w:t>–</w:t>
      </w:r>
      <w:r w:rsidRPr="00F65365">
        <w:tab/>
        <w:t>ņemot vērā Starptautiskās tirdzniecības komitejas ziņojumu (A10</w:t>
      </w:r>
      <w:r w:rsidRPr="00F65365">
        <w:noBreakHyphen/>
        <w:t>0254/2025),</w:t>
      </w:r>
    </w:p>
    <w:p w14:paraId="696B8346" w14:textId="45603DE1" w:rsidR="00921712" w:rsidRPr="00F65365" w:rsidRDefault="00921712" w:rsidP="00921712">
      <w:pPr>
        <w:pStyle w:val="NormalHanging12a"/>
      </w:pPr>
      <w:r w:rsidRPr="00F65365">
        <w:t>1.</w:t>
      </w:r>
      <w:r w:rsidRPr="00F65365">
        <w:tab/>
        <w:t>pieņem pirmajā lasījumā turpmāk izklāstīto nostāju</w:t>
      </w:r>
      <w:r w:rsidR="00AD37A5" w:rsidRPr="00F65365">
        <w:rPr>
          <w:rStyle w:val="FootnoteReference"/>
        </w:rPr>
        <w:footnoteReference w:id="1"/>
      </w:r>
      <w:r w:rsidRPr="00F65365">
        <w:t>;</w:t>
      </w:r>
    </w:p>
    <w:p w14:paraId="708C6312" w14:textId="77777777" w:rsidR="0003231F" w:rsidRPr="00F65365" w:rsidRDefault="0003231F" w:rsidP="0003231F">
      <w:pPr>
        <w:pStyle w:val="NormalHanging12a"/>
      </w:pPr>
      <w:r w:rsidRPr="00F65365">
        <w:t>2.</w:t>
      </w:r>
      <w:r w:rsidRPr="00F65365">
        <w:tab/>
        <w:t xml:space="preserve">pieņem zināšanai Komisijas paziņojumu, kas pievienots šai rezolūcijai un kas tiks </w:t>
      </w:r>
      <w:r w:rsidRPr="00F65365">
        <w:lastRenderedPageBreak/>
        <w:t xml:space="preserve">publicēts </w:t>
      </w:r>
      <w:r w:rsidRPr="00F65365">
        <w:rPr>
          <w:i/>
          <w:iCs/>
        </w:rPr>
        <w:t xml:space="preserve">Eiropas Savienības Oficiālā Vēstneša </w:t>
      </w:r>
      <w:r w:rsidRPr="00F65365">
        <w:t>C sērijā;</w:t>
      </w:r>
    </w:p>
    <w:p w14:paraId="5C98142E" w14:textId="6FA993E3" w:rsidR="00921712" w:rsidRPr="00F65365" w:rsidRDefault="00AD37A5" w:rsidP="00921712">
      <w:pPr>
        <w:pStyle w:val="NormalHanging12a"/>
      </w:pPr>
      <w:r w:rsidRPr="00F65365">
        <w:t>3</w:t>
      </w:r>
      <w:r w:rsidR="00921712" w:rsidRPr="00F65365">
        <w:t>.</w:t>
      </w:r>
      <w:r w:rsidR="00921712" w:rsidRPr="00F65365">
        <w:tab/>
        <w:t>prasa Komisijai priekšlikumu Parlamentam iesniegt vēlreiz, ja tā savu priekšlikumu aizstāj, būtiski groza vai ir paredzējusi to būtiski grozīt;</w:t>
      </w:r>
    </w:p>
    <w:p w14:paraId="2FC1C566" w14:textId="21174615" w:rsidR="00AD37A5" w:rsidRPr="00F65365" w:rsidRDefault="00AD37A5" w:rsidP="00AD37A5">
      <w:pPr>
        <w:pStyle w:val="NormalHanging12a"/>
        <w:sectPr w:rsidR="00AD37A5" w:rsidRPr="00F65365" w:rsidSect="00635BDC">
          <w:footnotePr>
            <w:numRestart w:val="eachSect"/>
          </w:footnotePr>
          <w:endnotePr>
            <w:numFmt w:val="decimal"/>
          </w:endnotePr>
          <w:pgSz w:w="11906" w:h="16838" w:code="9"/>
          <w:pgMar w:top="1134" w:right="1418" w:bottom="1418" w:left="1418" w:header="1134" w:footer="567" w:gutter="0"/>
          <w:cols w:space="720"/>
          <w:noEndnote/>
          <w:docGrid w:linePitch="326"/>
        </w:sectPr>
      </w:pPr>
      <w:r w:rsidRPr="00F65365">
        <w:t>4</w:t>
      </w:r>
      <w:r w:rsidR="00921712" w:rsidRPr="00F65365">
        <w:t>.</w:t>
      </w:r>
      <w:r w:rsidR="00921712" w:rsidRPr="00F65365">
        <w:tab/>
        <w:t>uzdod priekšsēdētājai Parlamenta nostāju nosūtīt Padomei un Komisijai, kā arī dalībvalstu parlamentiem.</w:t>
      </w:r>
    </w:p>
    <w:p w14:paraId="616BF3A2" w14:textId="3253110E" w:rsidR="00AD37A5" w:rsidRPr="00F65365" w:rsidRDefault="00AD37A5" w:rsidP="00AD37A5">
      <w:pPr>
        <w:pStyle w:val="Normal12Hanging"/>
        <w:tabs>
          <w:tab w:val="left" w:pos="357"/>
        </w:tabs>
        <w:rPr>
          <w:b/>
        </w:rPr>
      </w:pPr>
      <w:r w:rsidRPr="00F65365">
        <w:rPr>
          <w:b/>
        </w:rPr>
        <w:lastRenderedPageBreak/>
        <w:t>P10_TC1-COD(2025)0322</w:t>
      </w:r>
    </w:p>
    <w:p w14:paraId="6B3F6A38" w14:textId="149DF039" w:rsidR="00AD37A5" w:rsidRDefault="00AD37A5" w:rsidP="00AD37A5">
      <w:pPr>
        <w:pStyle w:val="NormalHanging12a"/>
        <w:ind w:left="0" w:firstLine="0"/>
        <w:rPr>
          <w:rFonts w:eastAsia="Calibri"/>
          <w:b/>
          <w:szCs w:val="22"/>
          <w:lang w:eastAsia="en-US"/>
        </w:rPr>
      </w:pPr>
      <w:r w:rsidRPr="00F65365">
        <w:rPr>
          <w:b/>
        </w:rPr>
        <w:t xml:space="preserve">Eiropas Parlamenta nostāja, pieņemta pirmajā lasījumā 2026. gada 10. februārī, lai pieņemtu Eiropas Parlamenta un Padomes Regulu (ES) 2026/..., </w:t>
      </w:r>
      <w:r w:rsidR="00872819" w:rsidRPr="00872819">
        <w:rPr>
          <w:rFonts w:eastAsia="Calibri"/>
          <w:b/>
          <w:bCs/>
          <w:szCs w:val="22"/>
          <w:lang w:eastAsia="en-US"/>
        </w:rPr>
        <w:t>ar ko attiecībā uz lauksaimniecības produktiem īsteno divpusējas aizsardzības pasākumu klauzulas ES un</w:t>
      </w:r>
      <w:r w:rsidR="00872819">
        <w:rPr>
          <w:rFonts w:eastAsia="Calibri"/>
          <w:b/>
          <w:bCs/>
          <w:szCs w:val="22"/>
          <w:lang w:eastAsia="en-US"/>
        </w:rPr>
        <w:t xml:space="preserve"> </w:t>
      </w:r>
      <w:proofErr w:type="spellStart"/>
      <w:r w:rsidR="00872819" w:rsidRPr="00872819">
        <w:rPr>
          <w:rFonts w:eastAsia="Calibri"/>
          <w:b/>
          <w:bCs/>
          <w:i/>
          <w:iCs/>
          <w:szCs w:val="22"/>
          <w:lang w:eastAsia="en-US"/>
        </w:rPr>
        <w:t>Mercosur</w:t>
      </w:r>
      <w:proofErr w:type="spellEnd"/>
      <w:r w:rsidR="00872819">
        <w:rPr>
          <w:rFonts w:eastAsia="Calibri"/>
          <w:b/>
          <w:bCs/>
          <w:szCs w:val="22"/>
          <w:lang w:eastAsia="en-US"/>
        </w:rPr>
        <w:t xml:space="preserve"> </w:t>
      </w:r>
      <w:r w:rsidR="00872819" w:rsidRPr="00872819">
        <w:rPr>
          <w:rFonts w:eastAsia="Calibri"/>
          <w:b/>
          <w:bCs/>
          <w:szCs w:val="22"/>
          <w:lang w:eastAsia="en-US"/>
        </w:rPr>
        <w:t>Partnerības nolīgumā un ES un</w:t>
      </w:r>
      <w:r w:rsidR="00872819">
        <w:rPr>
          <w:rFonts w:eastAsia="Calibri"/>
          <w:b/>
          <w:bCs/>
          <w:szCs w:val="22"/>
          <w:lang w:eastAsia="en-US"/>
        </w:rPr>
        <w:t xml:space="preserve"> </w:t>
      </w:r>
      <w:proofErr w:type="spellStart"/>
      <w:r w:rsidR="00872819" w:rsidRPr="00872819">
        <w:rPr>
          <w:rFonts w:eastAsia="Calibri"/>
          <w:b/>
          <w:bCs/>
          <w:i/>
          <w:iCs/>
          <w:szCs w:val="22"/>
          <w:lang w:eastAsia="en-US"/>
        </w:rPr>
        <w:t>Mercosur</w:t>
      </w:r>
      <w:proofErr w:type="spellEnd"/>
      <w:r w:rsidR="00872819">
        <w:rPr>
          <w:rFonts w:eastAsia="Calibri"/>
          <w:b/>
          <w:bCs/>
          <w:szCs w:val="22"/>
          <w:lang w:eastAsia="en-US"/>
        </w:rPr>
        <w:t xml:space="preserve"> </w:t>
      </w:r>
      <w:r w:rsidR="00872819" w:rsidRPr="00872819">
        <w:rPr>
          <w:rFonts w:eastAsia="Calibri"/>
          <w:b/>
          <w:bCs/>
          <w:szCs w:val="22"/>
          <w:lang w:eastAsia="en-US"/>
        </w:rPr>
        <w:t>Pagaidu nolīgumā par tirdzniecību</w:t>
      </w:r>
    </w:p>
    <w:p w14:paraId="10A171AF" w14:textId="13C49FD7" w:rsidR="00872819" w:rsidRDefault="00872819" w:rsidP="00872819">
      <w:pPr>
        <w:rPr>
          <w:i/>
        </w:rPr>
      </w:pPr>
      <w:r w:rsidRPr="003E6639">
        <w:rPr>
          <w:i/>
        </w:rPr>
        <w:t xml:space="preserve">(Tā kā starp Parlamentu un Padomi tika panākta vienošanās, Parlamenta nostāja atbilst galīgajam tiesību aktam Regulai </w:t>
      </w:r>
      <w:r w:rsidRPr="00872819">
        <w:rPr>
          <w:i/>
        </w:rPr>
        <w:t>(ES) 202</w:t>
      </w:r>
      <w:r w:rsidRPr="00872819">
        <w:rPr>
          <w:i/>
        </w:rPr>
        <w:t>6</w:t>
      </w:r>
      <w:r w:rsidRPr="00872819">
        <w:rPr>
          <w:i/>
        </w:rPr>
        <w:t>/</w:t>
      </w:r>
      <w:r w:rsidRPr="00872819">
        <w:rPr>
          <w:i/>
        </w:rPr>
        <w:t>687</w:t>
      </w:r>
      <w:r w:rsidRPr="00872819">
        <w:rPr>
          <w:i/>
        </w:rPr>
        <w:t>.)</w:t>
      </w:r>
    </w:p>
    <w:p w14:paraId="587FAC7C" w14:textId="77777777" w:rsidR="00872819" w:rsidRPr="00872819" w:rsidRDefault="00872819">
      <w:pPr>
        <w:widowControl/>
        <w:rPr>
          <w:i/>
        </w:rPr>
      </w:pPr>
      <w:r w:rsidRPr="00872819">
        <w:rPr>
          <w:i/>
        </w:rPr>
        <w:br w:type="page"/>
      </w:r>
    </w:p>
    <w:p w14:paraId="3508ED49" w14:textId="77777777" w:rsidR="00872819" w:rsidRPr="00F65365" w:rsidRDefault="00872819" w:rsidP="00872819">
      <w:pPr>
        <w:widowControl/>
        <w:spacing w:after="200" w:line="276" w:lineRule="auto"/>
        <w:jc w:val="right"/>
        <w:rPr>
          <w:rFonts w:eastAsia="Calibri"/>
          <w:bCs/>
          <w:szCs w:val="22"/>
          <w:lang w:eastAsia="en-US"/>
        </w:rPr>
      </w:pPr>
      <w:r w:rsidRPr="00F65365">
        <w:rPr>
          <w:rFonts w:eastAsia="Calibri"/>
          <w:bCs/>
          <w:szCs w:val="22"/>
          <w:lang w:eastAsia="en-US"/>
        </w:rPr>
        <w:lastRenderedPageBreak/>
        <w:t>NORMATĪVĀS REZOLŪCIJAS PIELIKUMS</w:t>
      </w:r>
    </w:p>
    <w:p w14:paraId="3283D400" w14:textId="68966E1D" w:rsidR="00872819" w:rsidRPr="00F65365" w:rsidRDefault="00872819" w:rsidP="00872819">
      <w:pPr>
        <w:pStyle w:val="Point0"/>
        <w:ind w:left="0" w:firstLine="0"/>
        <w:jc w:val="left"/>
        <w:rPr>
          <w:b/>
          <w:bCs/>
          <w:lang w:bidi="lv-LV"/>
        </w:rPr>
      </w:pPr>
      <w:r w:rsidRPr="00F65365">
        <w:rPr>
          <w:b/>
          <w:lang w:bidi="lv-LV"/>
        </w:rPr>
        <w:t>Komisijas paziņojums saistībā ar Regulas (ES) 2026/</w:t>
      </w:r>
      <w:r>
        <w:rPr>
          <w:b/>
          <w:lang w:bidi="lv-LV"/>
        </w:rPr>
        <w:t>687</w:t>
      </w:r>
      <w:r>
        <w:rPr>
          <w:rStyle w:val="FootnoteReference"/>
          <w:b/>
          <w:lang w:bidi="lv-LV"/>
        </w:rPr>
        <w:footnoteReference w:id="2"/>
      </w:r>
      <w:r w:rsidRPr="00F65365">
        <w:rPr>
          <w:b/>
          <w:lang w:bidi="lv-LV"/>
        </w:rPr>
        <w:t xml:space="preserve"> pieņemšanu - par importētiem lauksaimniecības pārtikas produktiem piemērojamajiem ražošanas standartiem un SFS kontrolēm </w:t>
      </w:r>
    </w:p>
    <w:p w14:paraId="0668CC9C" w14:textId="77777777" w:rsidR="00872819" w:rsidRPr="00F65365" w:rsidRDefault="00872819" w:rsidP="00872819">
      <w:pPr>
        <w:pStyle w:val="Point0"/>
        <w:ind w:left="0" w:firstLine="0"/>
        <w:jc w:val="left"/>
        <w:rPr>
          <w:lang w:bidi="lv-LV"/>
        </w:rPr>
      </w:pPr>
      <w:r w:rsidRPr="00F65365">
        <w:rPr>
          <w:lang w:bidi="lv-LV"/>
        </w:rPr>
        <w:t>Redzējumā par lauksaimniecības un pārtikas nozari Komisija paziņoja par saviem plāniem ciešāk saskaņot ražošanas standartus, ko piemēro importētiem produktiem, jo īpaši attiecībā uz dzīvnieku labturību un pesticīdiem.</w:t>
      </w:r>
    </w:p>
    <w:p w14:paraId="7D7E3085" w14:textId="77777777" w:rsidR="00872819" w:rsidRPr="00F65365" w:rsidRDefault="00872819" w:rsidP="00872819">
      <w:pPr>
        <w:pStyle w:val="Point0"/>
        <w:ind w:left="0" w:firstLine="0"/>
        <w:jc w:val="left"/>
        <w:rPr>
          <w:lang w:bidi="lv-LV"/>
        </w:rPr>
      </w:pPr>
      <w:r w:rsidRPr="00F65365">
        <w:rPr>
          <w:lang w:bidi="lv-LV"/>
        </w:rPr>
        <w:t>Attiecībā uz pesticīdiem redzējumā ir iekļauts princips, ka visbīstamākie pesticīdi, kas veselības un vides apsvērumu dēļ ES ir aizliegti, nedrīkstētu ES sasniegt aplinkus, proti, importētu produktu veidā, tādējādi cenšoties novērst neizdevīgus konkurences apstākļus ES lauksaimniekiem un lauksaimniecības pārtikas nozarei, vienlaikus reaģējot uz patērētāju vēlmēm. Lai virzītos uz priekšu, Komisija 2025. gada 25. novembrī sāka pētījumu nolūkā sagatavot ietekmes novērtējumu, kurā tiks ņemta vērā šīs pieejas ietekme. Ņemot vērā rezultātus, Komisija vajadzības gadījumā ierosinās grozījumus piemērojamajā tiesiskajā regulējumā. Paredzams, ka sākotnējais pētījums tiks pabeigts līdz 2026. gada vasarai, un tam sekos ietekmes novērtējuma nākamie posmi. Lai gan spēkā esošie ES tiesību akti jau aizsargā patērētājus un nodrošina, ka visa tirgū laistā pārtika atbilst mūsu augstajiem veselības un drošības standartiem, Komisija joprojām ir apņēmusies ciešāk saskaņot ražošanas standartus, kas attiecas uz importētiem produktiem, tādējādi nodrošinot vienlīdzīgus konkurences apstākļus mūsu lauksaimniekiem un ražotājiem un saglabājot patērētāju aizsardzību.</w:t>
      </w:r>
    </w:p>
    <w:p w14:paraId="6D1852D4" w14:textId="77777777" w:rsidR="00872819" w:rsidRPr="00F65365" w:rsidRDefault="00872819" w:rsidP="00872819">
      <w:pPr>
        <w:pStyle w:val="Point0"/>
        <w:ind w:left="0" w:firstLine="0"/>
        <w:jc w:val="left"/>
        <w:rPr>
          <w:lang w:bidi="lv-LV"/>
        </w:rPr>
      </w:pPr>
      <w:r w:rsidRPr="00F65365">
        <w:rPr>
          <w:lang w:bidi="lv-LV"/>
        </w:rPr>
        <w:t>Tikmēr Komisija 2025. gada 16. decembra priekšlikumā par pārtikas un barības nekaitīguma jomas vienkāršošanas paketi ir ierosinājusi grozīt spēkā esošos tiesību aktus, lai paredzētu, ka attiecībā uz vielām, kuras Savienībā nav apstiprinātas un kurām ir konkrētas īpaši bīstamas īpašības, maksimāli pieļaujamos pesticīdu atlieku līmeņus (MAL) var noteikt nulles līmenī, ja to uzskata par lietderīgu, ņemot vērā ietekmes novērtējuma rezultātus.</w:t>
      </w:r>
    </w:p>
    <w:p w14:paraId="592E7A3D" w14:textId="77777777" w:rsidR="00872819" w:rsidRPr="00F65365" w:rsidRDefault="00872819" w:rsidP="00872819">
      <w:pPr>
        <w:pStyle w:val="Point0"/>
        <w:ind w:left="0" w:firstLine="0"/>
        <w:jc w:val="left"/>
        <w:rPr>
          <w:lang w:bidi="lv-LV"/>
        </w:rPr>
      </w:pPr>
      <w:r w:rsidRPr="00F65365">
        <w:rPr>
          <w:lang w:bidi="lv-LV"/>
        </w:rPr>
        <w:t>Saistībā ar dzīvnieku labturību Komisija 2025. gada 17. decembrī pabeidza sabiedrisko apspriešanu par ES tiesību aktu pārskatīšanu attiecībā uz noteiktu lauksaimniecības dzīvnieku labturību, tostarp par to, vai un kādā mērā dzīvnieku un dzīvnieku izcelsmes produktu importam būtu jāpiemēro līdzvērtīgi dzīvnieku labturības standarti. Pēc ietekmes novērtējuma Komisija turpinās darbu pie attiecīgajiem priekšlikumiem.</w:t>
      </w:r>
    </w:p>
    <w:p w14:paraId="67144D4D" w14:textId="77777777" w:rsidR="00872819" w:rsidRPr="00F65365" w:rsidRDefault="00872819" w:rsidP="00872819">
      <w:pPr>
        <w:pStyle w:val="Point0"/>
        <w:ind w:left="0" w:firstLine="0"/>
        <w:jc w:val="left"/>
        <w:rPr>
          <w:rFonts w:eastAsia="Calibri"/>
          <w:b/>
          <w:bCs/>
          <w:i/>
          <w:iCs/>
          <w:noProof/>
        </w:rPr>
      </w:pPr>
      <w:r w:rsidRPr="00F65365">
        <w:rPr>
          <w:lang w:bidi="lv-LV"/>
        </w:rPr>
        <w:t xml:space="preserve">Attiecībā uz importa kontroli Komisija </w:t>
      </w:r>
      <w:r>
        <w:rPr>
          <w:lang w:bidi="lv-LV"/>
        </w:rPr>
        <w:t xml:space="preserve">2025. gada </w:t>
      </w:r>
      <w:r w:rsidRPr="00F65365">
        <w:rPr>
          <w:lang w:bidi="lv-LV"/>
        </w:rPr>
        <w:t xml:space="preserve">9. decembrī paziņoja par plāniem pastiprināt un uzlabot tieši uz vietas veiktās revīzijas visās trešās valstīs, tostarp attiecībā uz pārtikas importu no </w:t>
      </w:r>
      <w:proofErr w:type="spellStart"/>
      <w:r w:rsidRPr="00F65365">
        <w:rPr>
          <w:i/>
          <w:iCs/>
          <w:lang w:bidi="lv-LV"/>
        </w:rPr>
        <w:t>Mercosur</w:t>
      </w:r>
      <w:proofErr w:type="spellEnd"/>
      <w:r w:rsidRPr="00F65365">
        <w:rPr>
          <w:lang w:bidi="lv-LV"/>
        </w:rPr>
        <w:t xml:space="preserve"> valstīm. Komisija nākamajos divos gados, sākot no 2026. gada 1. janvāra, par 50 % palielinās savas ar eksportu saistītās revīzijas </w:t>
      </w:r>
      <w:proofErr w:type="spellStart"/>
      <w:r w:rsidRPr="00F65365">
        <w:rPr>
          <w:lang w:bidi="lv-LV"/>
        </w:rPr>
        <w:t>ārpussavienības</w:t>
      </w:r>
      <w:proofErr w:type="spellEnd"/>
      <w:r w:rsidRPr="00F65365">
        <w:rPr>
          <w:lang w:bidi="lv-LV"/>
        </w:rPr>
        <w:t xml:space="preserve"> valstīs. Komisija arī pastiprinās neatbilstīgu </w:t>
      </w:r>
      <w:proofErr w:type="spellStart"/>
      <w:r w:rsidRPr="00F65365">
        <w:rPr>
          <w:lang w:bidi="lv-LV"/>
        </w:rPr>
        <w:t>pirmpreču</w:t>
      </w:r>
      <w:proofErr w:type="spellEnd"/>
      <w:r w:rsidRPr="00F65365">
        <w:rPr>
          <w:lang w:bidi="lv-LV"/>
        </w:rPr>
        <w:t xml:space="preserve"> un valstu uzraudzību un attiecīgi pielāgos pārbaužu biežumu. Turklāt Komisija pastiprinās kontroles līmeni ES, proti, galvenajos ievešanas punktos. Šajā sakarā Komisija veiks lielāku skaitu pārbaužu dalībvalstīs, lai nodrošinātu, ka kontrole uz robežām pilnībā atbilst ES standartiem, tādējādi sniedzot atbalstu dalībvalstīm šo pārbaužu pienācīgā veikšanā. Lai importa kontroli padarītu efektīvāku, Komisija izveidos specializētu ES darba grupu, kas īpašu uzmanību pievērsīs pesticīdu atliekām, pārtikas un barības nekaitīgumam un dzīvnieku labturībai, un apsvērs koordinētu ES uzraudzības darbību attiecībā uz importētiem produktiem.</w:t>
      </w:r>
    </w:p>
    <w:sectPr w:rsidR="00872819" w:rsidRPr="00F65365" w:rsidSect="008728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2D2E" w14:textId="77777777" w:rsidR="00EE0E63" w:rsidRPr="00635BDC" w:rsidRDefault="00EE0E63">
      <w:r w:rsidRPr="00635BDC">
        <w:separator/>
      </w:r>
    </w:p>
  </w:endnote>
  <w:endnote w:type="continuationSeparator" w:id="0">
    <w:p w14:paraId="3DF58F30" w14:textId="77777777" w:rsidR="00EE0E63" w:rsidRPr="00635BDC" w:rsidRDefault="00EE0E63">
      <w:r w:rsidRPr="00635B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822CC" w14:textId="77777777" w:rsidR="00EE0E63" w:rsidRPr="00635BDC" w:rsidRDefault="00EE0E63">
      <w:r w:rsidRPr="00635BDC">
        <w:separator/>
      </w:r>
    </w:p>
  </w:footnote>
  <w:footnote w:type="continuationSeparator" w:id="0">
    <w:p w14:paraId="68A9CCD6" w14:textId="77777777" w:rsidR="00EE0E63" w:rsidRPr="00635BDC" w:rsidRDefault="00EE0E63">
      <w:r w:rsidRPr="00635BDC">
        <w:continuationSeparator/>
      </w:r>
    </w:p>
  </w:footnote>
  <w:footnote w:id="1">
    <w:p w14:paraId="1832B6AF" w14:textId="3E9272B5" w:rsidR="00AD37A5" w:rsidRPr="005E6068" w:rsidRDefault="00AD37A5" w:rsidP="00AD37A5">
      <w:pPr>
        <w:pStyle w:val="FootnoteText"/>
        <w:ind w:left="567" w:hanging="567"/>
        <w:rPr>
          <w:lang w:val="lv-LV"/>
        </w:rPr>
      </w:pPr>
      <w:r>
        <w:rPr>
          <w:rStyle w:val="FootnoteReference"/>
        </w:rPr>
        <w:footnoteRef/>
      </w:r>
      <w:r w:rsidRPr="005E6068">
        <w:rPr>
          <w:lang w:val="pt-PT"/>
        </w:rPr>
        <w:t xml:space="preserve"> </w:t>
      </w:r>
      <w:r>
        <w:rPr>
          <w:lang w:val="lv-LV"/>
        </w:rPr>
        <w:tab/>
      </w:r>
      <w:bookmarkStart w:id="7" w:name="_Hlk221531597"/>
      <w:r w:rsidRPr="005E6068">
        <w:rPr>
          <w:sz w:val="24"/>
          <w:szCs w:val="24"/>
          <w:lang w:val="lv-LV"/>
        </w:rPr>
        <w:t>Ar šo nostāju aizstāj 20</w:t>
      </w:r>
      <w:r>
        <w:rPr>
          <w:sz w:val="24"/>
          <w:szCs w:val="24"/>
          <w:lang w:val="lv-LV"/>
        </w:rPr>
        <w:t>25</w:t>
      </w:r>
      <w:r w:rsidRPr="005E6068">
        <w:rPr>
          <w:sz w:val="24"/>
          <w:szCs w:val="24"/>
          <w:lang w:val="lv-LV"/>
        </w:rPr>
        <w:t xml:space="preserve">. gada </w:t>
      </w:r>
      <w:r>
        <w:rPr>
          <w:sz w:val="24"/>
          <w:szCs w:val="24"/>
          <w:lang w:val="lv-LV"/>
        </w:rPr>
        <w:t>16. decembrī</w:t>
      </w:r>
      <w:r w:rsidRPr="005E6068">
        <w:rPr>
          <w:sz w:val="24"/>
          <w:szCs w:val="24"/>
          <w:lang w:val="lv-LV"/>
        </w:rPr>
        <w:t xml:space="preserve"> pieņemtos grozījumus (Pieņemtie teksti P</w:t>
      </w:r>
      <w:r>
        <w:rPr>
          <w:sz w:val="24"/>
          <w:szCs w:val="24"/>
          <w:lang w:val="lv-LV"/>
        </w:rPr>
        <w:t>10</w:t>
      </w:r>
      <w:r w:rsidRPr="005E6068">
        <w:rPr>
          <w:sz w:val="24"/>
          <w:szCs w:val="24"/>
          <w:lang w:val="lv-LV"/>
        </w:rPr>
        <w:t>_TA(20</w:t>
      </w:r>
      <w:r>
        <w:rPr>
          <w:sz w:val="24"/>
          <w:szCs w:val="24"/>
          <w:lang w:val="lv-LV"/>
        </w:rPr>
        <w:t>25</w:t>
      </w:r>
      <w:r w:rsidRPr="005E6068">
        <w:rPr>
          <w:sz w:val="24"/>
          <w:szCs w:val="24"/>
          <w:lang w:val="lv-LV"/>
        </w:rPr>
        <w:t>)0</w:t>
      </w:r>
      <w:r>
        <w:rPr>
          <w:sz w:val="24"/>
          <w:szCs w:val="24"/>
          <w:lang w:val="lv-LV"/>
        </w:rPr>
        <w:t>315</w:t>
      </w:r>
      <w:r w:rsidRPr="005E6068">
        <w:rPr>
          <w:sz w:val="24"/>
          <w:szCs w:val="24"/>
          <w:lang w:val="lv-LV"/>
        </w:rPr>
        <w:t>)</w:t>
      </w:r>
      <w:r>
        <w:rPr>
          <w:sz w:val="24"/>
          <w:szCs w:val="24"/>
          <w:lang w:val="lv-LV"/>
        </w:rPr>
        <w:t>.</w:t>
      </w:r>
      <w:bookmarkEnd w:id="7"/>
    </w:p>
  </w:footnote>
  <w:footnote w:id="2">
    <w:p w14:paraId="6E0B3556" w14:textId="073818A6" w:rsidR="00872819" w:rsidRPr="00872819" w:rsidRDefault="00872819" w:rsidP="00872819">
      <w:pPr>
        <w:pStyle w:val="FootnoteText"/>
        <w:ind w:left="709" w:hanging="709"/>
        <w:rPr>
          <w:lang w:val="sk-SK"/>
        </w:rPr>
      </w:pPr>
      <w:r w:rsidRPr="00872819">
        <w:rPr>
          <w:rStyle w:val="FootnoteReference"/>
        </w:rPr>
        <w:footnoteRef/>
      </w:r>
      <w:r w:rsidRPr="00872819">
        <w:rPr>
          <w:lang w:val="fi-FI"/>
        </w:rPr>
        <w:t xml:space="preserve"> </w:t>
      </w:r>
      <w:r w:rsidRPr="00872819">
        <w:rPr>
          <w:lang w:val="lv-LV"/>
        </w:rPr>
        <w:tab/>
      </w:r>
      <w:r w:rsidRPr="00872819">
        <w:rPr>
          <w:sz w:val="24"/>
          <w:szCs w:val="24"/>
          <w:lang w:val="sk-SK"/>
        </w:rPr>
        <w:t>O</w:t>
      </w:r>
      <w:r>
        <w:rPr>
          <w:sz w:val="24"/>
          <w:szCs w:val="24"/>
          <w:lang w:val="sk-SK"/>
        </w:rPr>
        <w:t>V</w:t>
      </w:r>
      <w:r w:rsidRPr="00872819">
        <w:rPr>
          <w:sz w:val="24"/>
          <w:szCs w:val="24"/>
          <w:lang w:val="sk-SK"/>
        </w:rPr>
        <w:t xml:space="preserve"> L, 2026/687, 19.3.2026</w:t>
      </w:r>
      <w:r>
        <w:rPr>
          <w:sz w:val="24"/>
          <w:szCs w:val="24"/>
          <w:lang w:val="sk-SK"/>
        </w:rPr>
        <w:t>.</w:t>
      </w:r>
      <w:r w:rsidRPr="00872819">
        <w:rPr>
          <w:sz w:val="24"/>
          <w:szCs w:val="24"/>
          <w:lang w:val="sk-SK"/>
        </w:rPr>
        <w:t xml:space="preserve">, ELI: </w:t>
      </w:r>
      <w:hyperlink r:id="rId1" w:history="1">
        <w:r w:rsidRPr="00872819">
          <w:rPr>
            <w:rStyle w:val="Hyperlink"/>
            <w:szCs w:val="24"/>
            <w:lang w:val="sk-SK"/>
          </w:rPr>
          <w:t>http://data.europa.eu/eli/reg/2026/687/oj</w:t>
        </w:r>
      </w:hyperlink>
      <w:r w:rsidRPr="00872819">
        <w:rPr>
          <w:sz w:val="24"/>
          <w:szCs w:val="24"/>
          <w:lang w:val="sk-S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112310"/>
    <w:multiLevelType w:val="hybridMultilevel"/>
    <w:tmpl w:val="E52EBC4E"/>
    <w:lvl w:ilvl="0" w:tplc="B6C65A7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024062"/>
    <w:multiLevelType w:val="hybridMultilevel"/>
    <w:tmpl w:val="ABF0910E"/>
    <w:lvl w:ilvl="0" w:tplc="4442F70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61932">
    <w:abstractNumId w:val="9"/>
  </w:num>
  <w:num w:numId="2" w16cid:durableId="642469428">
    <w:abstractNumId w:val="9"/>
  </w:num>
  <w:num w:numId="3" w16cid:durableId="1997297853">
    <w:abstractNumId w:val="7"/>
  </w:num>
  <w:num w:numId="4" w16cid:durableId="1501434070">
    <w:abstractNumId w:val="7"/>
  </w:num>
  <w:num w:numId="5" w16cid:durableId="905795418">
    <w:abstractNumId w:val="6"/>
  </w:num>
  <w:num w:numId="6" w16cid:durableId="746268739">
    <w:abstractNumId w:val="6"/>
  </w:num>
  <w:num w:numId="7" w16cid:durableId="210768057">
    <w:abstractNumId w:val="5"/>
  </w:num>
  <w:num w:numId="8" w16cid:durableId="1773821800">
    <w:abstractNumId w:val="5"/>
  </w:num>
  <w:num w:numId="9" w16cid:durableId="1957323203">
    <w:abstractNumId w:val="4"/>
  </w:num>
  <w:num w:numId="10" w16cid:durableId="1569459241">
    <w:abstractNumId w:val="4"/>
  </w:num>
  <w:num w:numId="11" w16cid:durableId="249437999">
    <w:abstractNumId w:val="8"/>
  </w:num>
  <w:num w:numId="12" w16cid:durableId="1855731433">
    <w:abstractNumId w:val="8"/>
  </w:num>
  <w:num w:numId="13" w16cid:durableId="1213269780">
    <w:abstractNumId w:val="3"/>
  </w:num>
  <w:num w:numId="14" w16cid:durableId="1667897450">
    <w:abstractNumId w:val="3"/>
  </w:num>
  <w:num w:numId="15" w16cid:durableId="2134131119">
    <w:abstractNumId w:val="2"/>
  </w:num>
  <w:num w:numId="16" w16cid:durableId="852457773">
    <w:abstractNumId w:val="2"/>
  </w:num>
  <w:num w:numId="17" w16cid:durableId="538397188">
    <w:abstractNumId w:val="1"/>
  </w:num>
  <w:num w:numId="18" w16cid:durableId="781072277">
    <w:abstractNumId w:val="1"/>
  </w:num>
  <w:num w:numId="19" w16cid:durableId="1490901866">
    <w:abstractNumId w:val="0"/>
  </w:num>
  <w:num w:numId="20" w16cid:durableId="2123574398">
    <w:abstractNumId w:val="0"/>
  </w:num>
  <w:num w:numId="21" w16cid:durableId="1327588754">
    <w:abstractNumId w:val="9"/>
  </w:num>
  <w:num w:numId="22" w16cid:durableId="2144342427">
    <w:abstractNumId w:val="7"/>
  </w:num>
  <w:num w:numId="23" w16cid:durableId="806705428">
    <w:abstractNumId w:val="6"/>
  </w:num>
  <w:num w:numId="24" w16cid:durableId="1419250246">
    <w:abstractNumId w:val="5"/>
  </w:num>
  <w:num w:numId="25" w16cid:durableId="781653615">
    <w:abstractNumId w:val="4"/>
  </w:num>
  <w:num w:numId="26" w16cid:durableId="1306353724">
    <w:abstractNumId w:val="8"/>
  </w:num>
  <w:num w:numId="27" w16cid:durableId="116262423">
    <w:abstractNumId w:val="3"/>
  </w:num>
  <w:num w:numId="28" w16cid:durableId="1177189455">
    <w:abstractNumId w:val="2"/>
  </w:num>
  <w:num w:numId="29" w16cid:durableId="228734164">
    <w:abstractNumId w:val="1"/>
  </w:num>
  <w:num w:numId="30" w16cid:durableId="264730799">
    <w:abstractNumId w:val="0"/>
  </w:num>
  <w:num w:numId="31" w16cid:durableId="1095637859">
    <w:abstractNumId w:val="9"/>
  </w:num>
  <w:num w:numId="32" w16cid:durableId="1043404841">
    <w:abstractNumId w:val="7"/>
  </w:num>
  <w:num w:numId="33" w16cid:durableId="1007249273">
    <w:abstractNumId w:val="6"/>
  </w:num>
  <w:num w:numId="34" w16cid:durableId="1787888861">
    <w:abstractNumId w:val="5"/>
  </w:num>
  <w:num w:numId="35" w16cid:durableId="1052266682">
    <w:abstractNumId w:val="4"/>
  </w:num>
  <w:num w:numId="36" w16cid:durableId="634407497">
    <w:abstractNumId w:val="8"/>
  </w:num>
  <w:num w:numId="37" w16cid:durableId="1003043777">
    <w:abstractNumId w:val="3"/>
  </w:num>
  <w:num w:numId="38" w16cid:durableId="1908414643">
    <w:abstractNumId w:val="2"/>
  </w:num>
  <w:num w:numId="39" w16cid:durableId="182212747">
    <w:abstractNumId w:val="1"/>
  </w:num>
  <w:num w:numId="40" w16cid:durableId="1468668963">
    <w:abstractNumId w:val="0"/>
  </w:num>
  <w:num w:numId="41" w16cid:durableId="1864635891">
    <w:abstractNumId w:val="10"/>
  </w:num>
  <w:num w:numId="42" w16cid:durableId="1115756208">
    <w:abstractNumId w:val="10"/>
  </w:num>
  <w:num w:numId="43" w16cid:durableId="185876053">
    <w:abstractNumId w:val="10"/>
  </w:num>
  <w:num w:numId="44" w16cid:durableId="1086073017">
    <w:abstractNumId w:val="13"/>
  </w:num>
  <w:num w:numId="45" w16cid:durableId="144467695">
    <w:abstractNumId w:val="12"/>
  </w:num>
  <w:num w:numId="46" w16cid:durableId="59909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LV"/>
    <w:docVar w:name="dvnumam" w:val="24"/>
    <w:docVar w:name="dvpe" w:val="779.615"/>
    <w:docVar w:name="dvrapporteur" w:val="Referents: "/>
    <w:docVar w:name="dvstar" w:val="***I"/>
    <w:docVar w:name="dvtitre" w:val="Eiropas Parlamenta 2025. gada XX. XXX normatīvā rezolūcija par priekšlikumu Eiropas Parlamenta un Padomes regulai, ar ko attiecībā uz lauksaimniecības produktiem īsteno divpusējas aizsardzības pasākumu klauzulu ES un Mercosur Partnerības nolīgumā un ES un Mercosur Pagaidu nolīgumā par tirdzniecību(COM(2025)0639 – C10-0247/2025 – 2025/0322(COD))"/>
  </w:docVars>
  <w:rsids>
    <w:rsidRoot w:val="00EE0E63"/>
    <w:rsid w:val="00002272"/>
    <w:rsid w:val="0003231F"/>
    <w:rsid w:val="0005529A"/>
    <w:rsid w:val="00064002"/>
    <w:rsid w:val="000677B9"/>
    <w:rsid w:val="000831BA"/>
    <w:rsid w:val="000A42CC"/>
    <w:rsid w:val="000E7DD9"/>
    <w:rsid w:val="0010095E"/>
    <w:rsid w:val="00125B37"/>
    <w:rsid w:val="00187494"/>
    <w:rsid w:val="00197D15"/>
    <w:rsid w:val="001F32AE"/>
    <w:rsid w:val="002767FF"/>
    <w:rsid w:val="002B18FE"/>
    <w:rsid w:val="002B5493"/>
    <w:rsid w:val="00334549"/>
    <w:rsid w:val="00343214"/>
    <w:rsid w:val="00361C00"/>
    <w:rsid w:val="00395FA1"/>
    <w:rsid w:val="003C252B"/>
    <w:rsid w:val="003D2853"/>
    <w:rsid w:val="003E15D4"/>
    <w:rsid w:val="00411CCE"/>
    <w:rsid w:val="0041666E"/>
    <w:rsid w:val="00421060"/>
    <w:rsid w:val="00471C19"/>
    <w:rsid w:val="004867E3"/>
    <w:rsid w:val="00494A28"/>
    <w:rsid w:val="004C0004"/>
    <w:rsid w:val="004C5D52"/>
    <w:rsid w:val="0050519A"/>
    <w:rsid w:val="005072A1"/>
    <w:rsid w:val="00514517"/>
    <w:rsid w:val="005320CB"/>
    <w:rsid w:val="00537278"/>
    <w:rsid w:val="00545827"/>
    <w:rsid w:val="00560270"/>
    <w:rsid w:val="005C2568"/>
    <w:rsid w:val="005E6068"/>
    <w:rsid w:val="005F1B17"/>
    <w:rsid w:val="005F5F7C"/>
    <w:rsid w:val="006037C0"/>
    <w:rsid w:val="00635B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819"/>
    <w:rsid w:val="00874CBA"/>
    <w:rsid w:val="00881A7B"/>
    <w:rsid w:val="008840E5"/>
    <w:rsid w:val="00887B3E"/>
    <w:rsid w:val="008C2AC6"/>
    <w:rsid w:val="00921712"/>
    <w:rsid w:val="00930C23"/>
    <w:rsid w:val="0093193B"/>
    <w:rsid w:val="009509D8"/>
    <w:rsid w:val="00950B64"/>
    <w:rsid w:val="00966731"/>
    <w:rsid w:val="00981893"/>
    <w:rsid w:val="0098376D"/>
    <w:rsid w:val="00A1687D"/>
    <w:rsid w:val="00A43E52"/>
    <w:rsid w:val="00A4678D"/>
    <w:rsid w:val="00A778C7"/>
    <w:rsid w:val="00AB441E"/>
    <w:rsid w:val="00AB6293"/>
    <w:rsid w:val="00AD37A5"/>
    <w:rsid w:val="00AE0928"/>
    <w:rsid w:val="00AF3B82"/>
    <w:rsid w:val="00B12E95"/>
    <w:rsid w:val="00B22876"/>
    <w:rsid w:val="00B558F0"/>
    <w:rsid w:val="00BC139A"/>
    <w:rsid w:val="00BD48FE"/>
    <w:rsid w:val="00BD7BD8"/>
    <w:rsid w:val="00BE6ADC"/>
    <w:rsid w:val="00C05BFE"/>
    <w:rsid w:val="00C23CD4"/>
    <w:rsid w:val="00C566FC"/>
    <w:rsid w:val="00C61C0C"/>
    <w:rsid w:val="00C941CB"/>
    <w:rsid w:val="00CC2357"/>
    <w:rsid w:val="00CF071A"/>
    <w:rsid w:val="00D058B8"/>
    <w:rsid w:val="00D56C11"/>
    <w:rsid w:val="00D834A0"/>
    <w:rsid w:val="00D872DF"/>
    <w:rsid w:val="00D91E21"/>
    <w:rsid w:val="00DA7FCD"/>
    <w:rsid w:val="00E365E1"/>
    <w:rsid w:val="00E5733E"/>
    <w:rsid w:val="00E709C6"/>
    <w:rsid w:val="00E811A4"/>
    <w:rsid w:val="00E820A4"/>
    <w:rsid w:val="00EB006A"/>
    <w:rsid w:val="00EB4772"/>
    <w:rsid w:val="00EC7002"/>
    <w:rsid w:val="00ED169E"/>
    <w:rsid w:val="00ED4235"/>
    <w:rsid w:val="00EE0E63"/>
    <w:rsid w:val="00F04346"/>
    <w:rsid w:val="00F075DC"/>
    <w:rsid w:val="00F149E9"/>
    <w:rsid w:val="00F5134D"/>
    <w:rsid w:val="00F65365"/>
    <w:rsid w:val="00F74202"/>
    <w:rsid w:val="00F87713"/>
    <w:rsid w:val="00FB4360"/>
    <w:rsid w:val="00FD0C70"/>
    <w:rsid w:val="00FE6D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979A2"/>
  <w15:chartTrackingRefBased/>
  <w15:docId w15:val="{3DF2BA01-372B-4F23-82D5-7A62253B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1 Char,Footnote Text Char Char Char,Char Char Char Char Char Char Char1 Char Char,Hyperlink1,Char Char Char Char Char Char Char Char Char Char,Char Char Char Char Char Char Char Char,Footnote Text Char Char,Fußnote,lábléc"/>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Hyperlink1 Char,Char Char Char Char Char Char Char Char Char Char Char,Char Char Char Char Char Char Char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21712"/>
    <w:pPr>
      <w:spacing w:after="120"/>
    </w:pPr>
  </w:style>
  <w:style w:type="paragraph" w:customStyle="1" w:styleId="NormalBold">
    <w:name w:val="NormalBold"/>
    <w:basedOn w:val="Normal"/>
    <w:link w:val="NormalBoldChar"/>
    <w:rsid w:val="00921712"/>
    <w:rPr>
      <w:b/>
    </w:rPr>
  </w:style>
  <w:style w:type="paragraph" w:customStyle="1" w:styleId="NormalBold12a">
    <w:name w:val="NormalBold12a"/>
    <w:basedOn w:val="Normal"/>
    <w:rsid w:val="00921712"/>
    <w:pPr>
      <w:spacing w:after="240"/>
    </w:pPr>
    <w:rPr>
      <w:b/>
    </w:rPr>
  </w:style>
  <w:style w:type="paragraph" w:customStyle="1" w:styleId="NormalHanging12a">
    <w:name w:val="NormalHanging12a"/>
    <w:basedOn w:val="Normal"/>
    <w:rsid w:val="00921712"/>
    <w:pPr>
      <w:spacing w:after="240"/>
      <w:ind w:left="567" w:hanging="567"/>
    </w:pPr>
  </w:style>
  <w:style w:type="paragraph" w:customStyle="1" w:styleId="AmColumnHeading">
    <w:name w:val="AmColumnHeading"/>
    <w:basedOn w:val="Normal"/>
    <w:rsid w:val="00921712"/>
    <w:pPr>
      <w:spacing w:after="240"/>
      <w:jc w:val="center"/>
    </w:pPr>
    <w:rPr>
      <w:i/>
    </w:rPr>
  </w:style>
  <w:style w:type="paragraph" w:customStyle="1" w:styleId="AmNumberTabs">
    <w:name w:val="AmNumberTabs"/>
    <w:basedOn w:val="Normal"/>
    <w:rsid w:val="009217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21712"/>
    <w:pPr>
      <w:spacing w:before="240"/>
    </w:pPr>
    <w:rPr>
      <w:b/>
    </w:rPr>
  </w:style>
  <w:style w:type="paragraph" w:customStyle="1" w:styleId="EPComma">
    <w:name w:val="EPComma"/>
    <w:basedOn w:val="Normal"/>
    <w:rsid w:val="00921712"/>
    <w:pPr>
      <w:spacing w:before="480" w:after="240"/>
    </w:pPr>
  </w:style>
  <w:style w:type="character" w:customStyle="1" w:styleId="NormalBoldChar">
    <w:name w:val="NormalBold Char"/>
    <w:basedOn w:val="DefaultParagraphFont"/>
    <w:link w:val="NormalBold"/>
    <w:locked/>
    <w:rsid w:val="00921712"/>
    <w:rPr>
      <w:b/>
      <w:sz w:val="24"/>
      <w:lang w:val="lv-LV"/>
    </w:rPr>
  </w:style>
  <w:style w:type="paragraph" w:styleId="Revision">
    <w:name w:val="Revision"/>
    <w:hidden/>
    <w:uiPriority w:val="99"/>
    <w:semiHidden/>
    <w:rsid w:val="003D2853"/>
    <w:rPr>
      <w:sz w:val="24"/>
      <w:lang w:val="lv-LV"/>
    </w:rPr>
  </w:style>
  <w:style w:type="character" w:styleId="Hyperlink">
    <w:name w:val="Hyperlink"/>
    <w:basedOn w:val="DefaultParagraphFont"/>
    <w:uiPriority w:val="99"/>
    <w:rsid w:val="003D2853"/>
    <w:rPr>
      <w:color w:val="0563C1" w:themeColor="hyperlink"/>
      <w:u w:val="single"/>
    </w:rPr>
  </w:style>
  <w:style w:type="character" w:styleId="UnresolvedMention">
    <w:name w:val="Unresolved Mention"/>
    <w:basedOn w:val="DefaultParagraphFont"/>
    <w:uiPriority w:val="99"/>
    <w:semiHidden/>
    <w:unhideWhenUsed/>
    <w:rsid w:val="003D2853"/>
    <w:rPr>
      <w:color w:val="605E5C"/>
      <w:shd w:val="clear" w:color="auto" w:fill="E1DFDD"/>
    </w:rPr>
  </w:style>
  <w:style w:type="character" w:styleId="CommentReference">
    <w:name w:val="annotation reference"/>
    <w:basedOn w:val="DefaultParagraphFont"/>
    <w:uiPriority w:val="99"/>
    <w:rsid w:val="0003231F"/>
    <w:rPr>
      <w:sz w:val="16"/>
      <w:szCs w:val="16"/>
    </w:rPr>
  </w:style>
  <w:style w:type="paragraph" w:styleId="CommentText">
    <w:name w:val="annotation text"/>
    <w:basedOn w:val="Normal"/>
    <w:link w:val="CommentTextChar"/>
    <w:uiPriority w:val="99"/>
    <w:rsid w:val="0003231F"/>
    <w:rPr>
      <w:sz w:val="20"/>
    </w:rPr>
  </w:style>
  <w:style w:type="character" w:customStyle="1" w:styleId="CommentTextChar">
    <w:name w:val="Comment Text Char"/>
    <w:basedOn w:val="DefaultParagraphFont"/>
    <w:link w:val="CommentText"/>
    <w:uiPriority w:val="99"/>
    <w:rsid w:val="0003231F"/>
    <w:rPr>
      <w:lang w:val="lv-LV"/>
    </w:rPr>
  </w:style>
  <w:style w:type="paragraph" w:customStyle="1" w:styleId="Normal12Hanging">
    <w:name w:val="Normal12Hanging"/>
    <w:basedOn w:val="Normal"/>
    <w:link w:val="Normal12HangingChar"/>
    <w:rsid w:val="00AD37A5"/>
    <w:pPr>
      <w:spacing w:after="240"/>
      <w:ind w:left="357" w:hanging="357"/>
    </w:pPr>
  </w:style>
  <w:style w:type="character" w:customStyle="1" w:styleId="Normal12HangingChar">
    <w:name w:val="Normal12Hanging Char"/>
    <w:basedOn w:val="DefaultParagraphFont"/>
    <w:link w:val="Normal12Hanging"/>
    <w:rsid w:val="00AD37A5"/>
    <w:rPr>
      <w:sz w:val="24"/>
      <w:lang w:val="lv-LV"/>
    </w:rPr>
  </w:style>
  <w:style w:type="paragraph" w:styleId="Header">
    <w:name w:val="header"/>
    <w:basedOn w:val="Normal"/>
    <w:link w:val="HeaderChar"/>
    <w:rsid w:val="00AD37A5"/>
    <w:pPr>
      <w:tabs>
        <w:tab w:val="center" w:pos="4513"/>
        <w:tab w:val="right" w:pos="9026"/>
      </w:tabs>
    </w:pPr>
  </w:style>
  <w:style w:type="character" w:customStyle="1" w:styleId="HeaderChar">
    <w:name w:val="Header Char"/>
    <w:basedOn w:val="DefaultParagraphFont"/>
    <w:link w:val="Header"/>
    <w:rsid w:val="00AD37A5"/>
    <w:rPr>
      <w:sz w:val="24"/>
      <w:lang w:val="lv-LV"/>
    </w:rPr>
  </w:style>
  <w:style w:type="paragraph" w:customStyle="1" w:styleId="EPFooter2">
    <w:name w:val="EPFooter2"/>
    <w:basedOn w:val="Normal"/>
    <w:next w:val="Normal"/>
    <w:rsid w:val="00AD37A5"/>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AD37A5"/>
    <w:pPr>
      <w:spacing w:before="240" w:after="240"/>
      <w:jc w:val="right"/>
    </w:pPr>
  </w:style>
  <w:style w:type="paragraph" w:customStyle="1" w:styleId="NormalCenter12a">
    <w:name w:val="NormalCenter12a"/>
    <w:basedOn w:val="Normal"/>
    <w:rsid w:val="00AD37A5"/>
    <w:pPr>
      <w:spacing w:after="240"/>
      <w:jc w:val="center"/>
    </w:pPr>
  </w:style>
  <w:style w:type="paragraph" w:customStyle="1" w:styleId="EPFooter">
    <w:name w:val="EPFooter"/>
    <w:basedOn w:val="Normal"/>
    <w:rsid w:val="00AD37A5"/>
    <w:pPr>
      <w:tabs>
        <w:tab w:val="center" w:pos="4535"/>
        <w:tab w:val="right" w:pos="9071"/>
      </w:tabs>
      <w:spacing w:before="240" w:after="240"/>
    </w:pPr>
    <w:rPr>
      <w:color w:val="010000"/>
      <w:sz w:val="22"/>
    </w:rPr>
  </w:style>
  <w:style w:type="paragraph" w:styleId="Footer">
    <w:name w:val="footer"/>
    <w:basedOn w:val="Normal"/>
    <w:link w:val="FooterChar"/>
    <w:rsid w:val="00AD37A5"/>
    <w:pPr>
      <w:tabs>
        <w:tab w:val="center" w:pos="4513"/>
        <w:tab w:val="right" w:pos="9026"/>
      </w:tabs>
    </w:pPr>
  </w:style>
  <w:style w:type="character" w:customStyle="1" w:styleId="FooterChar">
    <w:name w:val="Footer Char"/>
    <w:basedOn w:val="DefaultParagraphFont"/>
    <w:link w:val="Footer"/>
    <w:rsid w:val="00AD37A5"/>
    <w:rPr>
      <w:sz w:val="24"/>
      <w:lang w:val="lv-LV"/>
    </w:rPr>
  </w:style>
  <w:style w:type="paragraph" w:customStyle="1" w:styleId="Point0">
    <w:name w:val="Point 0"/>
    <w:basedOn w:val="Normal"/>
    <w:rsid w:val="00537278"/>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5206</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2026-04-14T14:16:00Z</dcterms:created>
  <dcterms:modified xsi:type="dcterms:W3CDTF">2026-04-14T14:16:00Z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P10_TA(2026)0030_</vt:lpwstr>
  </property>
  <property fmtid="{D5CDD505-2E9C-101B-9397-08002B2CF9AE}" pid="4" name="&lt;Type&gt;">
    <vt:lpwstr>RR</vt:lpwstr>
  </property>
</Properties>
</file>