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4E0E" w14:paraId="04BC52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25AB89" w14:textId="77777777" w:rsidR="00751A4A" w:rsidRPr="00D54E0E" w:rsidRDefault="00FC104D" w:rsidP="0010095E">
            <w:pPr>
              <w:pStyle w:val="EPName"/>
            </w:pPr>
            <w:r w:rsidRPr="00D54E0E">
              <w:t>Parlament Europejski</w:t>
            </w:r>
          </w:p>
          <w:p w14:paraId="3C326F27" w14:textId="77777777" w:rsidR="00751A4A" w:rsidRPr="00D54E0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4E0E">
              <w:t>2024</w:t>
            </w:r>
            <w:r w:rsidR="00817416" w:rsidRPr="00D54E0E">
              <w:t>-202</w:t>
            </w:r>
            <w:r w:rsidRPr="00D54E0E">
              <w:t>9</w:t>
            </w:r>
          </w:p>
        </w:tc>
        <w:tc>
          <w:tcPr>
            <w:tcW w:w="2268" w:type="dxa"/>
            <w:shd w:val="clear" w:color="auto" w:fill="auto"/>
          </w:tcPr>
          <w:p w14:paraId="75DEF079" w14:textId="77777777" w:rsidR="00751A4A" w:rsidRPr="00D54E0E" w:rsidRDefault="00187494" w:rsidP="0010095E">
            <w:pPr>
              <w:pStyle w:val="EPLogo"/>
            </w:pPr>
            <w:r w:rsidRPr="00D54E0E">
              <w:rPr>
                <w:noProof/>
                <w:lang w:eastAsia="ja-JP"/>
              </w:rPr>
              <w:drawing>
                <wp:inline distT="0" distB="0" distL="0" distR="0" wp14:anchorId="2BDA462B" wp14:editId="6FC2BA3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C29F67" w14:textId="77777777" w:rsidR="00D058B8" w:rsidRPr="00D54E0E" w:rsidRDefault="00D058B8" w:rsidP="004C5D52">
      <w:pPr>
        <w:pStyle w:val="LineTop"/>
      </w:pPr>
    </w:p>
    <w:p w14:paraId="106A0D16" w14:textId="77777777" w:rsidR="00680577" w:rsidRPr="00D54E0E" w:rsidRDefault="00FC104D" w:rsidP="00680577">
      <w:pPr>
        <w:pStyle w:val="EPBodyTA1"/>
      </w:pPr>
      <w:r w:rsidRPr="00D54E0E">
        <w:t>TEKSTY PRZYJĘTE</w:t>
      </w:r>
    </w:p>
    <w:p w14:paraId="4F84B03A" w14:textId="77777777" w:rsidR="00D058B8" w:rsidRPr="00D54E0E" w:rsidRDefault="00D058B8" w:rsidP="00D058B8">
      <w:pPr>
        <w:pStyle w:val="LineBottom"/>
      </w:pPr>
    </w:p>
    <w:p w14:paraId="3069737E" w14:textId="14353859" w:rsidR="00FC104D" w:rsidRPr="00D54E0E" w:rsidRDefault="00FC104D" w:rsidP="00FC104D">
      <w:pPr>
        <w:pStyle w:val="ATHeading1"/>
      </w:pPr>
      <w:bookmarkStart w:id="0" w:name="TANumber"/>
      <w:r w:rsidRPr="00D54E0E">
        <w:t>P10_TA(2026)00</w:t>
      </w:r>
      <w:bookmarkEnd w:id="0"/>
      <w:r w:rsidR="00A34FE9">
        <w:t>30</w:t>
      </w:r>
    </w:p>
    <w:p w14:paraId="58807B1E" w14:textId="77777777" w:rsidR="00FC104D" w:rsidRPr="00D54E0E" w:rsidRDefault="00FC104D" w:rsidP="00FC104D">
      <w:pPr>
        <w:pStyle w:val="ATHeading2"/>
      </w:pPr>
      <w:bookmarkStart w:id="1" w:name="title"/>
      <w:r w:rsidRPr="00D54E0E">
        <w:t>Dwustronna klauzula ochronna przewidziana w Umowie o partnerstwie UE–MERCOSUR oraz w Umowie przejściowej w sprawie handlu UE–MERCOSUR w odniesieniu do produktów rolnych</w:t>
      </w:r>
      <w:bookmarkEnd w:id="1"/>
    </w:p>
    <w:p w14:paraId="54001FA4" w14:textId="77777777" w:rsidR="00FC104D" w:rsidRPr="00D54E0E" w:rsidRDefault="00FC104D" w:rsidP="00FC104D">
      <w:pPr>
        <w:rPr>
          <w:i/>
          <w:vanish/>
        </w:rPr>
      </w:pPr>
      <w:r w:rsidRPr="00D54E0E">
        <w:rPr>
          <w:i/>
        </w:rPr>
        <w:fldChar w:fldCharType="begin"/>
      </w:r>
      <w:r w:rsidRPr="00D54E0E">
        <w:rPr>
          <w:i/>
        </w:rPr>
        <w:instrText xml:space="preserve"> TC"(</w:instrText>
      </w:r>
      <w:bookmarkStart w:id="2" w:name="DocNumber"/>
      <w:r w:rsidRPr="00D54E0E">
        <w:rPr>
          <w:i/>
        </w:rPr>
        <w:instrText>A10-0254/2025</w:instrText>
      </w:r>
      <w:bookmarkEnd w:id="2"/>
      <w:r w:rsidRPr="00D54E0E">
        <w:rPr>
          <w:i/>
        </w:rPr>
        <w:instrText xml:space="preserve"> - Sprawozdawca: Gabriel Mato)"\l3 \n&gt; \* MERGEFORMAT </w:instrText>
      </w:r>
      <w:r w:rsidRPr="00D54E0E">
        <w:rPr>
          <w:i/>
        </w:rPr>
        <w:fldChar w:fldCharType="end"/>
      </w:r>
    </w:p>
    <w:p w14:paraId="23CAA614" w14:textId="77777777" w:rsidR="00FC104D" w:rsidRPr="00D54E0E" w:rsidRDefault="00FC104D" w:rsidP="00FC104D">
      <w:pPr>
        <w:rPr>
          <w:vanish/>
        </w:rPr>
      </w:pPr>
      <w:bookmarkStart w:id="3" w:name="Commission"/>
      <w:r w:rsidRPr="00D54E0E">
        <w:rPr>
          <w:vanish/>
        </w:rPr>
        <w:t>Komisja Handlu Międzynarodowego</w:t>
      </w:r>
      <w:bookmarkEnd w:id="3"/>
    </w:p>
    <w:p w14:paraId="30521C64" w14:textId="77777777" w:rsidR="00FC104D" w:rsidRPr="00D54E0E" w:rsidRDefault="00FC104D" w:rsidP="00FC104D">
      <w:pPr>
        <w:rPr>
          <w:vanish/>
        </w:rPr>
      </w:pPr>
      <w:bookmarkStart w:id="4" w:name="PE"/>
      <w:r w:rsidRPr="00D54E0E">
        <w:rPr>
          <w:vanish/>
        </w:rPr>
        <w:t>PE779.615</w:t>
      </w:r>
      <w:bookmarkEnd w:id="4"/>
    </w:p>
    <w:p w14:paraId="5917FAF9" w14:textId="334D8010" w:rsidR="00FC104D" w:rsidRPr="00D54E0E" w:rsidRDefault="00FC104D" w:rsidP="00FC104D">
      <w:pPr>
        <w:pStyle w:val="ATHeading3"/>
      </w:pPr>
      <w:bookmarkStart w:id="5" w:name="Sujet"/>
      <w:r w:rsidRPr="00D54E0E">
        <w:t xml:space="preserve">Rezolucja ustawodawcza Parlamentu Europejskiego z dnia </w:t>
      </w:r>
      <w:r w:rsidR="00140290">
        <w:t>10</w:t>
      </w:r>
      <w:r w:rsidRPr="00D54E0E">
        <w:t xml:space="preserve"> </w:t>
      </w:r>
      <w:r w:rsidR="0033217B">
        <w:t xml:space="preserve">lutego </w:t>
      </w:r>
      <w:r w:rsidRPr="00D54E0E">
        <w:t>2026 r. w sprawie wniosku dotyczącego rozporządzenia Parlamentu Europejskiego i Rady wprowadzającego dwustronną klauzulę ochronną przewidzianą w Umowie o partnerstwie UE–</w:t>
      </w:r>
      <w:proofErr w:type="spellStart"/>
      <w:r w:rsidRPr="00D54E0E">
        <w:t>Mercosur</w:t>
      </w:r>
      <w:proofErr w:type="spellEnd"/>
      <w:r w:rsidRPr="00D54E0E">
        <w:t xml:space="preserve"> oraz w Umowie przejściowej w sprawie handlu UE–</w:t>
      </w:r>
      <w:proofErr w:type="spellStart"/>
      <w:r w:rsidRPr="00D54E0E">
        <w:t>Mercosur</w:t>
      </w:r>
      <w:proofErr w:type="spellEnd"/>
      <w:r w:rsidRPr="00D54E0E">
        <w:t xml:space="preserve"> w odniesieniu do produktów rolnych</w:t>
      </w:r>
      <w:bookmarkEnd w:id="5"/>
      <w:r w:rsidRPr="00D54E0E">
        <w:t xml:space="preserve"> </w:t>
      </w:r>
      <w:bookmarkStart w:id="6" w:name="References"/>
      <w:r w:rsidRPr="00D54E0E">
        <w:t>(COM(2025)0639 – C10-0247/2025 – 2025/0322(COD))</w:t>
      </w:r>
      <w:bookmarkEnd w:id="6"/>
    </w:p>
    <w:p w14:paraId="68F7CF7B" w14:textId="77777777" w:rsidR="004676FA" w:rsidRPr="00D54E0E" w:rsidRDefault="004676FA" w:rsidP="004676FA">
      <w:pPr>
        <w:pStyle w:val="NormalBold"/>
      </w:pPr>
      <w:r w:rsidRPr="00D54E0E">
        <w:t>(Zwykła procedura ustawodawcza: pierwsze czytanie)</w:t>
      </w:r>
    </w:p>
    <w:p w14:paraId="05DF912E" w14:textId="77777777" w:rsidR="004676FA" w:rsidRPr="00D54E0E" w:rsidRDefault="004676FA" w:rsidP="004676FA">
      <w:pPr>
        <w:pStyle w:val="EPComma"/>
      </w:pPr>
      <w:r w:rsidRPr="00D54E0E">
        <w:rPr>
          <w:i/>
        </w:rPr>
        <w:t>Parlament Europejski</w:t>
      </w:r>
      <w:r w:rsidRPr="00D54E0E">
        <w:t>,</w:t>
      </w:r>
    </w:p>
    <w:p w14:paraId="6CD14FF9" w14:textId="77777777" w:rsidR="004676FA" w:rsidRPr="00D54E0E" w:rsidRDefault="004676FA" w:rsidP="004676FA">
      <w:pPr>
        <w:pStyle w:val="NormalHanging12a"/>
      </w:pPr>
      <w:r w:rsidRPr="00D54E0E">
        <w:t>–</w:t>
      </w:r>
      <w:r w:rsidRPr="00D54E0E">
        <w:tab/>
        <w:t>uwzględniając wniosek Komisji przedstawiony Parlamentowi Europejskiemu i Radzie (COM(2025)0639),</w:t>
      </w:r>
    </w:p>
    <w:p w14:paraId="34F6017D" w14:textId="77777777" w:rsidR="004676FA" w:rsidRPr="00D54E0E" w:rsidRDefault="004676FA" w:rsidP="004676FA">
      <w:pPr>
        <w:pStyle w:val="NormalHanging12a"/>
      </w:pPr>
      <w:r w:rsidRPr="00D54E0E">
        <w:t>–</w:t>
      </w:r>
      <w:r w:rsidRPr="00D54E0E">
        <w:tab/>
        <w:t>uwzględniając art. 294 ust. 2 oraz art. 207 ust. 2 Traktatu o funkcjonowaniu Unii Europejskiej, zgodnie z którymi Komisja przedstawiła wniosek Parlamentowi (C10</w:t>
      </w:r>
      <w:r w:rsidRPr="00D54E0E">
        <w:noBreakHyphen/>
        <w:t>0247/2025),</w:t>
      </w:r>
    </w:p>
    <w:p w14:paraId="5CA3DFF7" w14:textId="77777777" w:rsidR="004676FA" w:rsidRPr="00D54E0E" w:rsidRDefault="004676FA" w:rsidP="004676FA">
      <w:pPr>
        <w:pStyle w:val="NormalHanging12a"/>
      </w:pPr>
      <w:r w:rsidRPr="00D54E0E">
        <w:t>–</w:t>
      </w:r>
      <w:r w:rsidRPr="00D54E0E">
        <w:tab/>
        <w:t>uwzględniając art. 294 ust. 3 Traktatu o funkcjonowaniu Unii Europejskiej,</w:t>
      </w:r>
    </w:p>
    <w:p w14:paraId="615406D3" w14:textId="77777777" w:rsidR="00E34BCA" w:rsidRDefault="00E34BCA" w:rsidP="00E34BCA">
      <w:pPr>
        <w:pStyle w:val="Normal12Hanging"/>
        <w:ind w:left="567" w:hanging="567"/>
      </w:pPr>
      <w:bookmarkStart w:id="7" w:name="_Hlk208309836"/>
      <w:r w:rsidRPr="0090212C">
        <w:t>–</w:t>
      </w:r>
      <w:r w:rsidRPr="0090212C">
        <w:tab/>
      </w:r>
      <w:bookmarkStart w:id="8" w:name="_Hlk208304133"/>
      <w:r w:rsidRPr="0090212C"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75</w:t>
      </w:r>
      <w:r w:rsidRPr="0090212C">
        <w:t xml:space="preserve"> ust. 4 Regulaminu oraz </w:t>
      </w:r>
      <w:r>
        <w:t>przekazane pismem z dnia 9 stycznia 2026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8"/>
    </w:p>
    <w:bookmarkEnd w:id="7"/>
    <w:p w14:paraId="15D3F27B" w14:textId="77777777" w:rsidR="004676FA" w:rsidRPr="00D54E0E" w:rsidRDefault="004676FA" w:rsidP="004676FA">
      <w:pPr>
        <w:pStyle w:val="NormalHanging12a"/>
      </w:pPr>
      <w:r w:rsidRPr="00D54E0E">
        <w:t>–</w:t>
      </w:r>
      <w:r w:rsidRPr="00D54E0E">
        <w:tab/>
        <w:t>uwzględniając art. 60 Regulaminu,</w:t>
      </w:r>
    </w:p>
    <w:p w14:paraId="7F0A13CC" w14:textId="77777777" w:rsidR="004676FA" w:rsidRPr="00D54E0E" w:rsidRDefault="004676FA" w:rsidP="004676FA">
      <w:pPr>
        <w:pStyle w:val="NormalHanging12a"/>
      </w:pPr>
      <w:r w:rsidRPr="00D54E0E">
        <w:t>–</w:t>
      </w:r>
      <w:r w:rsidRPr="00D54E0E">
        <w:tab/>
        <w:t>uwzględniając sprawozdanie Komisji Handlu Międzynarodowego (A10-0254/2025),</w:t>
      </w:r>
    </w:p>
    <w:p w14:paraId="40A68560" w14:textId="3F3D8378" w:rsidR="004676FA" w:rsidRPr="00E34BCA" w:rsidRDefault="004676FA" w:rsidP="004676FA">
      <w:pPr>
        <w:pStyle w:val="NormalHanging12a"/>
      </w:pPr>
      <w:r w:rsidRPr="00E34BCA">
        <w:t>1.</w:t>
      </w:r>
      <w:r w:rsidRPr="00E34BCA">
        <w:tab/>
        <w:t>przyjmuje poniższe stanowisko w pierwszym czytaniu</w:t>
      </w:r>
      <w:r w:rsidR="00E34BCA" w:rsidRPr="00E34BCA">
        <w:rPr>
          <w:rStyle w:val="FootnoteReference"/>
        </w:rPr>
        <w:footnoteReference w:id="1"/>
      </w:r>
      <w:r w:rsidRPr="00E34BCA">
        <w:t>;</w:t>
      </w:r>
    </w:p>
    <w:p w14:paraId="4CCB9D0E" w14:textId="17CA1D0D" w:rsidR="00E34BCA" w:rsidRPr="00E34BCA" w:rsidRDefault="00140290" w:rsidP="004676FA">
      <w:pPr>
        <w:pStyle w:val="NormalHanging12a"/>
      </w:pPr>
      <w:r>
        <w:lastRenderedPageBreak/>
        <w:t>2</w:t>
      </w:r>
      <w:r w:rsidR="00E34BCA" w:rsidRPr="00E34BCA">
        <w:t>.</w:t>
      </w:r>
      <w:r w:rsidR="00E34BCA" w:rsidRPr="00E34BCA">
        <w:tab/>
      </w:r>
      <w:r w:rsidR="00E34BCA" w:rsidRPr="00140290">
        <w:rPr>
          <w:bCs/>
          <w:iCs/>
        </w:rPr>
        <w:t>przyjmuje do wiadomości oświadczenie Komisji załączone do niniejszej rezolucji, które zostanie opublikowane w serii C Dziennika Urzędowego Unii Europejskiej;</w:t>
      </w:r>
    </w:p>
    <w:p w14:paraId="4F578EEA" w14:textId="248644CE" w:rsidR="004676FA" w:rsidRPr="00D54E0E" w:rsidRDefault="00140290" w:rsidP="004676FA">
      <w:pPr>
        <w:pStyle w:val="NormalHanging12a"/>
      </w:pPr>
      <w:r>
        <w:t>3</w:t>
      </w:r>
      <w:r w:rsidR="004676FA" w:rsidRPr="00D54E0E">
        <w:t>.</w:t>
      </w:r>
      <w:r w:rsidR="004676FA" w:rsidRPr="00D54E0E">
        <w:tab/>
        <w:t>zwraca się do Komisji o ponowne przekazanie mu sprawy, jeśli zastąpi ona pierwotny wniosek, wprowadzi w nim istotne zmiany lub planuje ich wprowadzenie;</w:t>
      </w:r>
    </w:p>
    <w:p w14:paraId="6D127515" w14:textId="7D26A67D" w:rsidR="004676FA" w:rsidRPr="00D54E0E" w:rsidRDefault="00140290" w:rsidP="004676FA">
      <w:pPr>
        <w:pStyle w:val="NormalHanging12a"/>
      </w:pPr>
      <w:r>
        <w:t>4</w:t>
      </w:r>
      <w:r w:rsidR="004676FA" w:rsidRPr="00D54E0E">
        <w:t>.</w:t>
      </w:r>
      <w:r w:rsidR="004676FA" w:rsidRPr="00D54E0E">
        <w:tab/>
        <w:t>zobowiązuje swoją przewodniczącą do przekazania stanowiska Parlamentu Radzie i Komisji oraz parlamentom narodowym.</w:t>
      </w:r>
    </w:p>
    <w:p w14:paraId="0E778CF0" w14:textId="77777777" w:rsidR="00E34BCA" w:rsidRDefault="00E34BCA" w:rsidP="004676FA">
      <w:pPr>
        <w:widowControl/>
        <w:sectPr w:rsidR="00E34BCA" w:rsidSect="00D54E0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58BC545" w14:textId="77777777" w:rsidR="00E34BCA" w:rsidRPr="00140290" w:rsidRDefault="00E34BCA" w:rsidP="00E34BC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40290">
        <w:rPr>
          <w:rFonts w:eastAsia="Calibri"/>
          <w:b/>
          <w:bCs/>
          <w:color w:val="000000"/>
          <w:szCs w:val="24"/>
        </w:rPr>
        <w:lastRenderedPageBreak/>
        <w:t>P10_TC1-COD(2025)0322</w:t>
      </w:r>
    </w:p>
    <w:p w14:paraId="4C318FE4" w14:textId="30238778" w:rsidR="00E34BCA" w:rsidRDefault="00E34BCA" w:rsidP="00E34BCA">
      <w:pPr>
        <w:spacing w:before="24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10 lutego 2026</w:t>
      </w:r>
      <w:r w:rsidR="005E4051">
        <w:rPr>
          <w:b/>
        </w:rPr>
        <w:t> </w:t>
      </w:r>
      <w:r>
        <w:rPr>
          <w:b/>
        </w:rPr>
        <w:t>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</w:t>
      </w:r>
      <w:r w:rsidR="00140290">
        <w:rPr>
          <w:b/>
        </w:rPr>
        <w:t>6</w:t>
      </w:r>
      <w:r>
        <w:rPr>
          <w:b/>
        </w:rPr>
        <w:t>/...</w:t>
      </w:r>
      <w:r w:rsidRPr="00741191">
        <w:rPr>
          <w:b/>
        </w:rPr>
        <w:t xml:space="preserve"> </w:t>
      </w:r>
      <w:r w:rsidRPr="00E34BCA">
        <w:rPr>
          <w:rFonts w:eastAsia="Calibri"/>
          <w:b/>
          <w:szCs w:val="22"/>
          <w:lang w:eastAsia="en-US"/>
        </w:rPr>
        <w:t>wprowadzające</w:t>
      </w:r>
      <w:r>
        <w:rPr>
          <w:rFonts w:eastAsia="Calibri"/>
          <w:b/>
          <w:szCs w:val="22"/>
          <w:lang w:eastAsia="en-US"/>
        </w:rPr>
        <w:t>go</w:t>
      </w:r>
      <w:r w:rsidRPr="00E34BCA">
        <w:rPr>
          <w:rFonts w:eastAsia="Calibri"/>
          <w:b/>
          <w:szCs w:val="22"/>
          <w:lang w:eastAsia="en-US"/>
        </w:rPr>
        <w:t xml:space="preserve"> dwustronne klauzule ochronne przewidziane w Umowie o partnerstwie UE–</w:t>
      </w:r>
      <w:proofErr w:type="spellStart"/>
      <w:r w:rsidRPr="00E34BCA">
        <w:rPr>
          <w:rFonts w:eastAsia="Calibri"/>
          <w:b/>
          <w:szCs w:val="22"/>
          <w:lang w:eastAsia="en-US"/>
        </w:rPr>
        <w:t>Mercosur</w:t>
      </w:r>
      <w:proofErr w:type="spellEnd"/>
      <w:r w:rsidRPr="00E34BCA">
        <w:rPr>
          <w:rFonts w:eastAsia="Calibri"/>
          <w:b/>
          <w:szCs w:val="22"/>
          <w:lang w:eastAsia="en-US"/>
        </w:rPr>
        <w:t xml:space="preserve"> oraz w Umowie przejściowej w sprawie handlu UE–</w:t>
      </w:r>
      <w:proofErr w:type="spellStart"/>
      <w:r w:rsidRPr="00E34BCA">
        <w:rPr>
          <w:rFonts w:eastAsia="Calibri"/>
          <w:b/>
          <w:szCs w:val="22"/>
          <w:lang w:eastAsia="en-US"/>
        </w:rPr>
        <w:t>Mercosur</w:t>
      </w:r>
      <w:proofErr w:type="spellEnd"/>
      <w:r w:rsidRPr="00E34BCA">
        <w:rPr>
          <w:rFonts w:eastAsia="Calibri"/>
          <w:b/>
          <w:szCs w:val="22"/>
          <w:lang w:eastAsia="en-US"/>
        </w:rPr>
        <w:t xml:space="preserve"> w odniesieniu do produktów rolnych</w:t>
      </w:r>
    </w:p>
    <w:p w14:paraId="35578B8C" w14:textId="77777777" w:rsidR="009D4CCF" w:rsidRDefault="009D4CCF" w:rsidP="00E34BCA">
      <w:pPr>
        <w:spacing w:before="240"/>
        <w:rPr>
          <w:rFonts w:eastAsia="Calibri"/>
          <w:b/>
          <w:szCs w:val="22"/>
          <w:lang w:eastAsia="en-US"/>
        </w:rPr>
      </w:pPr>
    </w:p>
    <w:p w14:paraId="33421757" w14:textId="6215EB3A" w:rsidR="009D4CCF" w:rsidRDefault="009D4CCF" w:rsidP="00E34BCA">
      <w:pPr>
        <w:spacing w:before="240"/>
        <w:rPr>
          <w:b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</w:t>
      </w:r>
      <w:r>
        <w:rPr>
          <w:i/>
        </w:rPr>
        <w:t>26</w:t>
      </w:r>
      <w:r>
        <w:rPr>
          <w:i/>
        </w:rPr>
        <w:t>/</w:t>
      </w:r>
      <w:r>
        <w:rPr>
          <w:i/>
        </w:rPr>
        <w:t>687</w:t>
      </w:r>
      <w:r>
        <w:rPr>
          <w:i/>
        </w:rPr>
        <w:t>.)</w:t>
      </w:r>
    </w:p>
    <w:p w14:paraId="2A6FDA52" w14:textId="77777777" w:rsidR="009D4CCF" w:rsidRDefault="009D4CCF">
      <w:pPr>
        <w:widowControl/>
        <w:rPr>
          <w:rFonts w:eastAsia="Calibri"/>
          <w:noProof/>
          <w:szCs w:val="22"/>
          <w:lang w:eastAsia="en-US"/>
        </w:rPr>
      </w:pPr>
      <w:r>
        <w:rPr>
          <w:rFonts w:eastAsia="Calibri"/>
          <w:noProof/>
          <w:szCs w:val="22"/>
          <w:lang w:eastAsia="en-US"/>
        </w:rPr>
        <w:br w:type="page"/>
      </w:r>
    </w:p>
    <w:p w14:paraId="386BBE0A" w14:textId="13B1E376" w:rsidR="008971E4" w:rsidRPr="008E1EA0" w:rsidRDefault="008971E4" w:rsidP="008971E4">
      <w:pPr>
        <w:widowControl/>
        <w:spacing w:before="120" w:after="120" w:line="360" w:lineRule="auto"/>
        <w:ind w:left="851"/>
        <w:jc w:val="right"/>
        <w:rPr>
          <w:rFonts w:eastAsia="Calibri"/>
          <w:noProof/>
          <w:szCs w:val="22"/>
          <w:lang w:eastAsia="en-US"/>
        </w:rPr>
      </w:pPr>
      <w:r>
        <w:rPr>
          <w:rFonts w:eastAsia="Calibri"/>
          <w:noProof/>
          <w:szCs w:val="22"/>
          <w:lang w:eastAsia="en-US"/>
        </w:rPr>
        <w:lastRenderedPageBreak/>
        <w:t>ZAŁĄCZNIK DO REZOLUCJI USTAWODAWCZEJ</w:t>
      </w:r>
    </w:p>
    <w:p w14:paraId="6F89D51D" w14:textId="07DFF69D" w:rsidR="008971E4" w:rsidRPr="00446326" w:rsidRDefault="008971E4" w:rsidP="008971E4">
      <w:pPr>
        <w:pStyle w:val="Annex"/>
        <w:spacing w:before="0" w:after="240" w:line="240" w:lineRule="auto"/>
        <w:jc w:val="both"/>
        <w:rPr>
          <w:u w:val="none"/>
        </w:rPr>
      </w:pPr>
      <w:r w:rsidRPr="00446326">
        <w:rPr>
          <w:u w:val="none"/>
        </w:rPr>
        <w:t>Oświadczenie Komisji Europejskiej w sprawie norm produkcji stosowanych względem przywożonych produktów rolno-spożywczych oraz kontroli sanitarnych i fitosanitarnych z okazji przyjęcia rozporządzenia (UE) 2026/</w:t>
      </w:r>
      <w:r w:rsidR="009D4CCF">
        <w:rPr>
          <w:u w:val="none"/>
        </w:rPr>
        <w:t>687</w:t>
      </w:r>
      <w:r w:rsidR="009D4CCF">
        <w:rPr>
          <w:rStyle w:val="FootnoteReference"/>
          <w:u w:val="none"/>
        </w:rPr>
        <w:footnoteReference w:id="2"/>
      </w:r>
    </w:p>
    <w:p w14:paraId="15C19DDE" w14:textId="77777777" w:rsidR="008971E4" w:rsidRPr="00446326" w:rsidRDefault="008971E4" w:rsidP="008971E4">
      <w:pPr>
        <w:pStyle w:val="Annex"/>
        <w:spacing w:before="0" w:after="240" w:line="240" w:lineRule="auto"/>
        <w:jc w:val="left"/>
        <w:rPr>
          <w:b w:val="0"/>
          <w:bCs/>
          <w:u w:val="none"/>
        </w:rPr>
      </w:pPr>
      <w:r w:rsidRPr="00446326">
        <w:rPr>
          <w:b w:val="0"/>
          <w:bCs/>
          <w:u w:val="none"/>
        </w:rPr>
        <w:t>W swojej „Wizji dla rolnictwa i żywności” Komisja zapowiedziała, że planuje dążyć do większej harmonizacji norm produkcji stosowanych względem produktów przywożonych, w szczególności w zakresie dobrostanu zwierząt i pestycydów.</w:t>
      </w:r>
    </w:p>
    <w:p w14:paraId="3FD20984" w14:textId="77777777" w:rsidR="008971E4" w:rsidRPr="00446326" w:rsidRDefault="008971E4" w:rsidP="008971E4">
      <w:pPr>
        <w:pStyle w:val="Annex"/>
        <w:spacing w:before="0" w:after="240" w:line="240" w:lineRule="auto"/>
        <w:jc w:val="left"/>
        <w:rPr>
          <w:b w:val="0"/>
          <w:bCs/>
          <w:u w:val="none"/>
        </w:rPr>
      </w:pPr>
      <w:r w:rsidRPr="00446326">
        <w:rPr>
          <w:b w:val="0"/>
          <w:bCs/>
          <w:u w:val="none"/>
        </w:rPr>
        <w:t>Jeśli chodzi o pestycydy, wspomniana wizja obejmuje zasadę, zgodnie z którą najbardziej niebezpieczne pestycydy zakazane w UE ze względów zdrowotnych i środowiskowych nie powinny być wprowadzane do UE w produktach przywożonych, co ma na celu uniknięcie niekorzystnej sytuacji konkurencyjnej dla unijnych rolników i sektora rolno-spożywczego, a jednocześnie odpowiada oczekiwaniom konsumentów. Aby poczynić postępy w tym zakresie, 25 listopada 2025 r. Komisja rozpoczęła badanie mające na celu przygotowanie oceny skutków, w której przeanalizowany zostanie wpływ przyjęcia tego podejścia. Na podstawie wyników Komisja zaproponuje, w razie potrzeby, zmiany w odpowiednich ramach prawnych. Oczekuje się, że badanie wstępne zakończy się przed latem 2026 r., po czym przeprowadzone zostaną kolejne etapy oceny skutków. Obowiązujące przepisy UE wprawdzie chronią już konsumentów i zapewniają wysokie normy zdrowia i bezpieczeństwa całej żywności wprowadzanej do obrotu, Komisja podtrzymuje jednak swoje zobowiązanie do dążenia do większej harmonizacji norm produkcji mających zastosowanie do produktów przywożonych, zapewniając w ten sposób równe warunki działania dla naszych rolników i producentów oraz ochronę konsumentów.</w:t>
      </w:r>
    </w:p>
    <w:p w14:paraId="77C3EBCF" w14:textId="77777777" w:rsidR="008971E4" w:rsidRPr="00446326" w:rsidRDefault="008971E4" w:rsidP="008971E4">
      <w:pPr>
        <w:pStyle w:val="Annex"/>
        <w:spacing w:before="0" w:after="240" w:line="240" w:lineRule="auto"/>
        <w:jc w:val="left"/>
        <w:rPr>
          <w:b w:val="0"/>
          <w:bCs/>
          <w:u w:val="none"/>
        </w:rPr>
      </w:pPr>
      <w:r w:rsidRPr="00446326">
        <w:rPr>
          <w:b w:val="0"/>
          <w:bCs/>
          <w:u w:val="none"/>
        </w:rPr>
        <w:t>W międzyczasie 16 grudnia 2025 r. w ramach wniosku dotyczącego pakietu uproszczeń w zakresie bezpieczeństwa i żywności Komisja zaproponowała zmianę obowiązujących przepisów, aby w przypadku substancji, które nie zostały zatwierdzone w Unii i które mają pewne szczególnie niebezpieczne właściwości, najwyższe dopuszczalne poziomy pozostałości mogły zostać ustalone na poziomie zerowym, jeżeli będzie to uznane za właściwe w wyniku oceny skutków.</w:t>
      </w:r>
    </w:p>
    <w:p w14:paraId="323A62C1" w14:textId="77777777" w:rsidR="008971E4" w:rsidRPr="00446326" w:rsidRDefault="008971E4" w:rsidP="008971E4">
      <w:pPr>
        <w:pStyle w:val="Annex"/>
        <w:spacing w:before="0" w:after="240" w:line="240" w:lineRule="auto"/>
        <w:jc w:val="left"/>
        <w:rPr>
          <w:b w:val="0"/>
          <w:bCs/>
          <w:u w:val="none"/>
        </w:rPr>
      </w:pPr>
      <w:r w:rsidRPr="00446326">
        <w:rPr>
          <w:b w:val="0"/>
          <w:bCs/>
          <w:u w:val="none"/>
        </w:rPr>
        <w:t>Jeśli chodzi o dobrostan zwierząt, 17 grudnia 2025 r. Komisja zakończyła konsultacje publiczne w sprawie przeglądu przepisów UE dotyczących dobrostanu niektórych zwierząt utrzymywanych w warunkach fermowych, które to konsultacje również dotyczyły tego, czy i w jakim zakresie równoważne normy dobrostanu zwierząt powinny mieć zastosowanie do przywozu zwierząt i produktów pochodzenia zwierzęcego. Po przeprowadzeniu oceny skutków Komisja przedstawi odpowiednie wnioski.</w:t>
      </w:r>
    </w:p>
    <w:p w14:paraId="7ED9406F" w14:textId="539C3305" w:rsidR="008971E4" w:rsidRPr="00E34BCA" w:rsidRDefault="008971E4" w:rsidP="008971E4">
      <w:pPr>
        <w:pStyle w:val="Annex"/>
        <w:spacing w:before="0" w:after="240" w:line="240" w:lineRule="auto"/>
        <w:jc w:val="left"/>
        <w:rPr>
          <w:bCs/>
          <w:i/>
          <w:iCs/>
          <w:noProof/>
        </w:rPr>
      </w:pPr>
      <w:r w:rsidRPr="00446326">
        <w:rPr>
          <w:b w:val="0"/>
          <w:bCs/>
          <w:u w:val="none"/>
        </w:rPr>
        <w:t xml:space="preserve">Jeżeli chodzi o kontrole przywozu, 9 grudnia 2025 r. Komisja ogłosiła plany zintensyfikowania i usprawnienia kontroli przeprowadzanych bezpośrednio na miejscu we wszystkich państwach trzecich, w tym w odniesieniu do przywozu żywności z państw </w:t>
      </w:r>
      <w:proofErr w:type="spellStart"/>
      <w:r w:rsidRPr="00446326">
        <w:rPr>
          <w:b w:val="0"/>
          <w:bCs/>
          <w:u w:val="none"/>
        </w:rPr>
        <w:t>Mercosuru</w:t>
      </w:r>
      <w:proofErr w:type="spellEnd"/>
      <w:r w:rsidRPr="00446326">
        <w:rPr>
          <w:b w:val="0"/>
          <w:bCs/>
          <w:u w:val="none"/>
        </w:rPr>
        <w:t xml:space="preserve">. W ciągu najbliższych 2 lat, począwszy od 1 stycznia 2026 r., Komisja zwiększy o 50 % liczbę kontroli wywozu w państwach niebędących członkami UE. Komisja zintensyfikuje również monitorowanie towarów i państw, w przypadku których dochodzi do przypadków nieprzestrzegania przepisów, oraz odpowiednio dostosuje częstotliwość kontroli tych towarów i państw. Ponadto Komisja wzmocni poziom kontroli w UE, a mianowicie w głównych punktach wprowadzania towarów. Komisja będzie w tym zakresie częściej kontrolowała państwa członkowskie, aby zapewnić pełną zgodność kontroli na granicach </w:t>
      </w:r>
      <w:r w:rsidRPr="00446326">
        <w:rPr>
          <w:b w:val="0"/>
          <w:bCs/>
          <w:u w:val="none"/>
        </w:rPr>
        <w:lastRenderedPageBreak/>
        <w:t>z normami UE i wspierać państwa członkowskie w prawidłowym przeprowadzaniu tych kontroli. Komisja powoła specjalną grupę zadaniową UE w celu poprawy skuteczności kontroli przywozu – która to grupa skoncentruje się w szczególności na pozostałościach pestycydów, bezpieczeństwie żywności i pasz oraz dobrostanie zwierząt – a także rozważy skoordynowane działania UE w zakresie monitorowania produktów przywożonych.</w:t>
      </w:r>
    </w:p>
    <w:p w14:paraId="6629CAF9" w14:textId="51DAEBFC" w:rsidR="00E365E1" w:rsidRPr="00E34BCA" w:rsidRDefault="00E365E1" w:rsidP="00E34BCA">
      <w:pPr>
        <w:keepNext/>
        <w:widowControl/>
        <w:spacing w:before="600" w:after="120" w:line="360" w:lineRule="auto"/>
      </w:pPr>
    </w:p>
    <w:sectPr w:rsidR="00E365E1" w:rsidRPr="00E34BCA" w:rsidSect="00D54E0E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4864F" w14:textId="77777777" w:rsidR="00FC104D" w:rsidRPr="00D54E0E" w:rsidRDefault="00FC104D">
      <w:r w:rsidRPr="00D54E0E">
        <w:separator/>
      </w:r>
    </w:p>
  </w:endnote>
  <w:endnote w:type="continuationSeparator" w:id="0">
    <w:p w14:paraId="3BA3F1C4" w14:textId="77777777" w:rsidR="00FC104D" w:rsidRPr="00D54E0E" w:rsidRDefault="00FC104D">
      <w:r w:rsidRPr="00D54E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A92F3" w14:textId="15776B25" w:rsidR="00E34BCA" w:rsidRPr="008971E4" w:rsidRDefault="00E34BCA" w:rsidP="008971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E6B6E" w14:textId="77777777" w:rsidR="00FC104D" w:rsidRPr="00D54E0E" w:rsidRDefault="00FC104D">
      <w:r w:rsidRPr="00D54E0E">
        <w:separator/>
      </w:r>
    </w:p>
  </w:footnote>
  <w:footnote w:type="continuationSeparator" w:id="0">
    <w:p w14:paraId="72F49BB9" w14:textId="77777777" w:rsidR="00FC104D" w:rsidRPr="00D54E0E" w:rsidRDefault="00FC104D">
      <w:r w:rsidRPr="00D54E0E">
        <w:continuationSeparator/>
      </w:r>
    </w:p>
  </w:footnote>
  <w:footnote w:id="1">
    <w:p w14:paraId="35E97546" w14:textId="67F12516" w:rsidR="00E34BCA" w:rsidRPr="00E34BCA" w:rsidRDefault="00E34BCA" w:rsidP="00E34BCA">
      <w:pPr>
        <w:pStyle w:val="FootnoteText"/>
        <w:ind w:left="851" w:hanging="851"/>
        <w:rPr>
          <w:sz w:val="24"/>
          <w:szCs w:val="24"/>
          <w:lang w:val="pl-PL"/>
        </w:rPr>
      </w:pPr>
      <w:r w:rsidRPr="00E34BCA">
        <w:rPr>
          <w:rStyle w:val="FootnoteReference"/>
          <w:sz w:val="24"/>
          <w:szCs w:val="24"/>
        </w:rPr>
        <w:footnoteRef/>
      </w:r>
      <w:r w:rsidRPr="00E34BCA">
        <w:rPr>
          <w:sz w:val="24"/>
          <w:szCs w:val="24"/>
          <w:lang w:val="pl-PL" w:eastAsia="en-GB"/>
        </w:rPr>
        <w:t xml:space="preserve"> </w:t>
      </w:r>
      <w:r w:rsidRPr="00E34BCA">
        <w:rPr>
          <w:sz w:val="24"/>
          <w:szCs w:val="24"/>
          <w:lang w:val="pl-PL" w:eastAsia="en-GB"/>
        </w:rPr>
        <w:tab/>
      </w:r>
      <w:r w:rsidRPr="00E34BCA">
        <w:rPr>
          <w:sz w:val="24"/>
          <w:szCs w:val="24"/>
          <w:lang w:val="pl-PL"/>
        </w:rPr>
        <w:t xml:space="preserve">Niniejsze stanowisko zastępuje poprawki przyjęte dnia </w:t>
      </w:r>
      <w:r w:rsidRPr="00E34BCA">
        <w:rPr>
          <w:sz w:val="24"/>
          <w:szCs w:val="24"/>
          <w:lang w:val="pl-PL" w:eastAsia="en-GB"/>
        </w:rPr>
        <w:t>16 grudnia 2025</w:t>
      </w:r>
      <w:r>
        <w:rPr>
          <w:sz w:val="24"/>
          <w:szCs w:val="24"/>
          <w:lang w:val="pl-PL" w:eastAsia="en-GB"/>
        </w:rPr>
        <w:t> </w:t>
      </w:r>
      <w:r w:rsidRPr="00E34BCA">
        <w:rPr>
          <w:sz w:val="24"/>
          <w:szCs w:val="24"/>
          <w:lang w:val="pl-PL" w:eastAsia="en-GB"/>
        </w:rPr>
        <w:t>r. (</w:t>
      </w:r>
      <w:r w:rsidRPr="00E34BCA">
        <w:rPr>
          <w:sz w:val="24"/>
          <w:szCs w:val="24"/>
          <w:lang w:val="pl-PL"/>
        </w:rPr>
        <w:t xml:space="preserve">Teksty przyjęte, </w:t>
      </w:r>
      <w:r w:rsidRPr="00E34BCA">
        <w:rPr>
          <w:sz w:val="24"/>
          <w:szCs w:val="24"/>
          <w:lang w:val="pl-PL" w:eastAsia="en-GB"/>
        </w:rPr>
        <w:t>P10_TA(2025)0315).</w:t>
      </w:r>
    </w:p>
  </w:footnote>
  <w:footnote w:id="2">
    <w:p w14:paraId="360495F7" w14:textId="1FA216AA" w:rsidR="009D4CCF" w:rsidRPr="009D4CCF" w:rsidRDefault="009D4CCF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9D4CCF">
        <w:rPr>
          <w:lang w:val="fi-FI"/>
        </w:rPr>
        <w:t xml:space="preserve"> </w:t>
      </w:r>
      <w:r w:rsidRPr="009D4CCF">
        <w:rPr>
          <w:lang w:val="fi-FI"/>
        </w:rPr>
        <w:tab/>
      </w:r>
      <w:r>
        <w:rPr>
          <w:lang w:val="fi-FI"/>
        </w:rPr>
        <w:t>Dz.U.</w:t>
      </w:r>
      <w:r w:rsidRPr="009D4CCF">
        <w:rPr>
          <w:lang w:val="fi-FI"/>
        </w:rPr>
        <w:t xml:space="preserve"> L, 2026/687, 19.3.2026, ELI: </w:t>
      </w:r>
      <w:hyperlink r:id="rId1" w:history="1">
        <w:r w:rsidRPr="00972E1A">
          <w:rPr>
            <w:rStyle w:val="Hyperlink"/>
            <w:sz w:val="22"/>
            <w:lang w:val="fi-FI"/>
          </w:rPr>
          <w:t>http://data.europa.eu/eli/reg/2026/687/oj</w:t>
        </w:r>
      </w:hyperlink>
      <w:r w:rsidRPr="009D4CCF">
        <w:rPr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6995353">
    <w:abstractNumId w:val="9"/>
  </w:num>
  <w:num w:numId="2" w16cid:durableId="1693259092">
    <w:abstractNumId w:val="9"/>
  </w:num>
  <w:num w:numId="3" w16cid:durableId="695273678">
    <w:abstractNumId w:val="7"/>
  </w:num>
  <w:num w:numId="4" w16cid:durableId="622350946">
    <w:abstractNumId w:val="7"/>
  </w:num>
  <w:num w:numId="5" w16cid:durableId="467816870">
    <w:abstractNumId w:val="6"/>
  </w:num>
  <w:num w:numId="6" w16cid:durableId="114639226">
    <w:abstractNumId w:val="6"/>
  </w:num>
  <w:num w:numId="7" w16cid:durableId="107897992">
    <w:abstractNumId w:val="5"/>
  </w:num>
  <w:num w:numId="8" w16cid:durableId="1627470553">
    <w:abstractNumId w:val="5"/>
  </w:num>
  <w:num w:numId="9" w16cid:durableId="2054692017">
    <w:abstractNumId w:val="4"/>
  </w:num>
  <w:num w:numId="10" w16cid:durableId="262809201">
    <w:abstractNumId w:val="4"/>
  </w:num>
  <w:num w:numId="11" w16cid:durableId="625817812">
    <w:abstractNumId w:val="8"/>
  </w:num>
  <w:num w:numId="12" w16cid:durableId="1904564824">
    <w:abstractNumId w:val="8"/>
  </w:num>
  <w:num w:numId="13" w16cid:durableId="203489678">
    <w:abstractNumId w:val="3"/>
  </w:num>
  <w:num w:numId="14" w16cid:durableId="919754063">
    <w:abstractNumId w:val="3"/>
  </w:num>
  <w:num w:numId="15" w16cid:durableId="1902986261">
    <w:abstractNumId w:val="2"/>
  </w:num>
  <w:num w:numId="16" w16cid:durableId="1327393929">
    <w:abstractNumId w:val="2"/>
  </w:num>
  <w:num w:numId="17" w16cid:durableId="1952274549">
    <w:abstractNumId w:val="1"/>
  </w:num>
  <w:num w:numId="18" w16cid:durableId="557668692">
    <w:abstractNumId w:val="1"/>
  </w:num>
  <w:num w:numId="19" w16cid:durableId="1687437580">
    <w:abstractNumId w:val="0"/>
  </w:num>
  <w:num w:numId="20" w16cid:durableId="1079450020">
    <w:abstractNumId w:val="0"/>
  </w:num>
  <w:num w:numId="21" w16cid:durableId="708264773">
    <w:abstractNumId w:val="9"/>
  </w:num>
  <w:num w:numId="22" w16cid:durableId="495730795">
    <w:abstractNumId w:val="7"/>
  </w:num>
  <w:num w:numId="23" w16cid:durableId="1180048346">
    <w:abstractNumId w:val="6"/>
  </w:num>
  <w:num w:numId="24" w16cid:durableId="1801222509">
    <w:abstractNumId w:val="5"/>
  </w:num>
  <w:num w:numId="25" w16cid:durableId="2125490395">
    <w:abstractNumId w:val="4"/>
  </w:num>
  <w:num w:numId="26" w16cid:durableId="185682951">
    <w:abstractNumId w:val="8"/>
  </w:num>
  <w:num w:numId="27" w16cid:durableId="318311876">
    <w:abstractNumId w:val="3"/>
  </w:num>
  <w:num w:numId="28" w16cid:durableId="501966702">
    <w:abstractNumId w:val="2"/>
  </w:num>
  <w:num w:numId="29" w16cid:durableId="779835834">
    <w:abstractNumId w:val="1"/>
  </w:num>
  <w:num w:numId="30" w16cid:durableId="557480071">
    <w:abstractNumId w:val="0"/>
  </w:num>
  <w:num w:numId="31" w16cid:durableId="854345614">
    <w:abstractNumId w:val="9"/>
  </w:num>
  <w:num w:numId="32" w16cid:durableId="1760441489">
    <w:abstractNumId w:val="7"/>
  </w:num>
  <w:num w:numId="33" w16cid:durableId="11231638">
    <w:abstractNumId w:val="6"/>
  </w:num>
  <w:num w:numId="34" w16cid:durableId="1046837618">
    <w:abstractNumId w:val="5"/>
  </w:num>
  <w:num w:numId="35" w16cid:durableId="658003072">
    <w:abstractNumId w:val="4"/>
  </w:num>
  <w:num w:numId="36" w16cid:durableId="1124276182">
    <w:abstractNumId w:val="8"/>
  </w:num>
  <w:num w:numId="37" w16cid:durableId="1495995279">
    <w:abstractNumId w:val="3"/>
  </w:num>
  <w:num w:numId="38" w16cid:durableId="1609973279">
    <w:abstractNumId w:val="2"/>
  </w:num>
  <w:num w:numId="39" w16cid:durableId="1551109111">
    <w:abstractNumId w:val="1"/>
  </w:num>
  <w:num w:numId="40" w16cid:durableId="746880179">
    <w:abstractNumId w:val="0"/>
  </w:num>
  <w:num w:numId="41" w16cid:durableId="39477174">
    <w:abstractNumId w:val="10"/>
  </w:num>
  <w:num w:numId="42" w16cid:durableId="429087467">
    <w:abstractNumId w:val="10"/>
  </w:num>
  <w:num w:numId="43" w16cid:durableId="1878010681">
    <w:abstractNumId w:val="10"/>
  </w:num>
  <w:num w:numId="44" w16cid:durableId="13341428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4/2025"/>
    <w:docVar w:name="dvlangue" w:val="PL"/>
    <w:docVar w:name="dvnumam" w:val="0"/>
    <w:docVar w:name="dvpe" w:val="779.615"/>
    <w:docVar w:name="dvrapporteur" w:val="Sprawozdawca: "/>
    <w:docVar w:name="dvstar" w:val="***I"/>
    <w:docVar w:name="dvtitre" w:val="Rezolucja ustawodawcza Parlamentu Europejskiego z dnia  2026 r. w sprawie wniosku dotyczącego rozporządzenia Parlamentu Europejskiego i Rady wprowadzającego dwustronną klauzulę ochronną przewidzianą w Umowie o partnerstwie UE–Mercosur oraz w Umowie przejściowej w sprawie handlu UE–Mercosur w odniesieniu do produktów rolnych(COM(2025)0639 – C10-0247/2025 – 2025/0322(COD))"/>
  </w:docVars>
  <w:rsids>
    <w:rsidRoot w:val="00FC104D"/>
    <w:rsid w:val="00002272"/>
    <w:rsid w:val="00064002"/>
    <w:rsid w:val="000677B9"/>
    <w:rsid w:val="000831BA"/>
    <w:rsid w:val="000A42CC"/>
    <w:rsid w:val="000E7DD9"/>
    <w:rsid w:val="0010095E"/>
    <w:rsid w:val="00125B37"/>
    <w:rsid w:val="00140290"/>
    <w:rsid w:val="00186761"/>
    <w:rsid w:val="00187494"/>
    <w:rsid w:val="001F32AE"/>
    <w:rsid w:val="002767FF"/>
    <w:rsid w:val="002B18FE"/>
    <w:rsid w:val="002B5493"/>
    <w:rsid w:val="0033217B"/>
    <w:rsid w:val="00343214"/>
    <w:rsid w:val="00361C00"/>
    <w:rsid w:val="00395FA1"/>
    <w:rsid w:val="003E15D4"/>
    <w:rsid w:val="00411CCE"/>
    <w:rsid w:val="0041666E"/>
    <w:rsid w:val="00421060"/>
    <w:rsid w:val="004676F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051"/>
    <w:rsid w:val="005F1B17"/>
    <w:rsid w:val="005F2D1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71E4"/>
    <w:rsid w:val="008C2AC6"/>
    <w:rsid w:val="00927E33"/>
    <w:rsid w:val="00930C23"/>
    <w:rsid w:val="0093193B"/>
    <w:rsid w:val="009509D8"/>
    <w:rsid w:val="00950B64"/>
    <w:rsid w:val="00981893"/>
    <w:rsid w:val="009D4CCF"/>
    <w:rsid w:val="00A1687D"/>
    <w:rsid w:val="00A34FE9"/>
    <w:rsid w:val="00A43E52"/>
    <w:rsid w:val="00A4678D"/>
    <w:rsid w:val="00A778C7"/>
    <w:rsid w:val="00AB441E"/>
    <w:rsid w:val="00AB6293"/>
    <w:rsid w:val="00AE0928"/>
    <w:rsid w:val="00AE4B39"/>
    <w:rsid w:val="00AF3B82"/>
    <w:rsid w:val="00B12E95"/>
    <w:rsid w:val="00B22876"/>
    <w:rsid w:val="00B331A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4E0E"/>
    <w:rsid w:val="00D56C11"/>
    <w:rsid w:val="00D834A0"/>
    <w:rsid w:val="00D872DF"/>
    <w:rsid w:val="00D91E21"/>
    <w:rsid w:val="00DA03C6"/>
    <w:rsid w:val="00DA7FCD"/>
    <w:rsid w:val="00E34BC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04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7355E"/>
  <w15:chartTrackingRefBased/>
  <w15:docId w15:val="{0D8C1601-B76B-49CD-8EB9-37834EE26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676FA"/>
    <w:pPr>
      <w:spacing w:after="120"/>
    </w:pPr>
  </w:style>
  <w:style w:type="paragraph" w:customStyle="1" w:styleId="NormalBold">
    <w:name w:val="NormalBold"/>
    <w:basedOn w:val="Normal"/>
    <w:link w:val="NormalBoldChar"/>
    <w:rsid w:val="004676FA"/>
    <w:rPr>
      <w:b/>
    </w:rPr>
  </w:style>
  <w:style w:type="paragraph" w:customStyle="1" w:styleId="NormalHanging12a">
    <w:name w:val="NormalHanging12a"/>
    <w:basedOn w:val="Normal"/>
    <w:rsid w:val="004676FA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676F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676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676FA"/>
    <w:pPr>
      <w:spacing w:before="240"/>
    </w:pPr>
    <w:rPr>
      <w:b/>
    </w:rPr>
  </w:style>
  <w:style w:type="paragraph" w:customStyle="1" w:styleId="EPComma">
    <w:name w:val="EPComma"/>
    <w:basedOn w:val="Normal"/>
    <w:rsid w:val="004676FA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4676FA"/>
    <w:rPr>
      <w:b/>
      <w:sz w:val="24"/>
      <w:lang w:val="pl-PL"/>
    </w:rPr>
  </w:style>
  <w:style w:type="paragraph" w:customStyle="1" w:styleId="Normal12Hanging">
    <w:name w:val="Normal12Hanging"/>
    <w:basedOn w:val="Normal"/>
    <w:link w:val="Normal12HangingChar"/>
    <w:rsid w:val="00E34BCA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E34BCA"/>
    <w:rPr>
      <w:snapToGrid w:val="0"/>
      <w:sz w:val="24"/>
      <w:lang w:val="pl-PL"/>
    </w:rPr>
  </w:style>
  <w:style w:type="paragraph" w:customStyle="1" w:styleId="EPFooter2">
    <w:name w:val="EPFooter2"/>
    <w:basedOn w:val="Normal"/>
    <w:next w:val="Normal"/>
    <w:rsid w:val="00E34BC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E34BC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uiPriority w:val="99"/>
    <w:rsid w:val="00E34BCA"/>
    <w:rPr>
      <w:rFonts w:ascii="Times New Roman" w:hAnsi="Times New Roman"/>
      <w:color w:val="0000FF"/>
      <w:sz w:val="24"/>
      <w:u w:val="single"/>
    </w:rPr>
  </w:style>
  <w:style w:type="paragraph" w:customStyle="1" w:styleId="Annex">
    <w:name w:val="Annex"/>
    <w:basedOn w:val="Normal"/>
    <w:next w:val="Normal"/>
    <w:rsid w:val="008971E4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styleId="Footer">
    <w:name w:val="footer"/>
    <w:basedOn w:val="Normal"/>
    <w:link w:val="FooterChar"/>
    <w:rsid w:val="008971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971E4"/>
    <w:rPr>
      <w:sz w:val="24"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9D4C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6/6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810</Words>
  <Characters>5685</Characters>
  <Application>Microsoft Office Word</Application>
  <DocSecurity>0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2026-04-15T09:09:00Z</dcterms:created>
  <dcterms:modified xsi:type="dcterms:W3CDTF">2026-04-15T09:09:00Z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P10_TA(2026)0030_</vt:lpwstr>
  </property>
  <property fmtid="{D5CDD505-2E9C-101B-9397-08002B2CF9AE}" pid="4" name="&lt;Type&gt;">
    <vt:lpwstr>RR</vt:lpwstr>
  </property>
</Properties>
</file>