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EC7" w14:paraId="355558E8" w14:textId="77777777" w:rsidTr="0010095E">
        <w:trPr>
          <w:trHeight w:hRule="exact" w:val="1418"/>
        </w:trPr>
        <w:tc>
          <w:tcPr>
            <w:tcW w:w="6804" w:type="dxa"/>
            <w:shd w:val="clear" w:color="auto" w:fill="auto"/>
            <w:vAlign w:val="center"/>
          </w:tcPr>
          <w:p w14:paraId="4E6C32BF" w14:textId="77777777" w:rsidR="00751A4A" w:rsidRPr="00646EC7" w:rsidRDefault="00530973" w:rsidP="0010095E">
            <w:pPr>
              <w:pStyle w:val="EPName"/>
            </w:pPr>
            <w:r w:rsidRPr="00646EC7">
              <w:t>Parlamentul European</w:t>
            </w:r>
          </w:p>
          <w:p w14:paraId="27E3973D" w14:textId="77777777" w:rsidR="00751A4A" w:rsidRPr="00646EC7" w:rsidRDefault="005F1B17" w:rsidP="005F1B17">
            <w:pPr>
              <w:pStyle w:val="EPTerm"/>
              <w:rPr>
                <w:rStyle w:val="HideTWBExt"/>
                <w:noProof w:val="0"/>
                <w:vanish w:val="0"/>
                <w:color w:val="auto"/>
              </w:rPr>
            </w:pPr>
            <w:r w:rsidRPr="00646EC7">
              <w:t>2024</w:t>
            </w:r>
            <w:r w:rsidR="00817416" w:rsidRPr="00646EC7">
              <w:t>-202</w:t>
            </w:r>
            <w:r w:rsidRPr="00646EC7">
              <w:t>9</w:t>
            </w:r>
          </w:p>
        </w:tc>
        <w:tc>
          <w:tcPr>
            <w:tcW w:w="2268" w:type="dxa"/>
            <w:shd w:val="clear" w:color="auto" w:fill="auto"/>
          </w:tcPr>
          <w:p w14:paraId="612DCE6F" w14:textId="77777777" w:rsidR="00751A4A" w:rsidRPr="00646EC7" w:rsidRDefault="00187494" w:rsidP="0010095E">
            <w:pPr>
              <w:pStyle w:val="EPLogo"/>
            </w:pPr>
            <w:r w:rsidRPr="00646EC7">
              <w:rPr>
                <w:noProof/>
                <w:lang w:eastAsia="ja-JP"/>
              </w:rPr>
              <w:drawing>
                <wp:inline distT="0" distB="0" distL="0" distR="0" wp14:anchorId="4C702EF2" wp14:editId="06C5D6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409B4B" w14:textId="77777777" w:rsidR="00D058B8" w:rsidRPr="00646EC7" w:rsidRDefault="00D058B8" w:rsidP="004C5D52">
      <w:pPr>
        <w:pStyle w:val="LineTop"/>
      </w:pPr>
    </w:p>
    <w:p w14:paraId="17924C03" w14:textId="77777777" w:rsidR="00680577" w:rsidRPr="00646EC7" w:rsidRDefault="00530973" w:rsidP="00680577">
      <w:pPr>
        <w:pStyle w:val="EPBodyTA1"/>
      </w:pPr>
      <w:r w:rsidRPr="00646EC7">
        <w:t>TEXTE ADOPTATE</w:t>
      </w:r>
    </w:p>
    <w:p w14:paraId="627AD8AB" w14:textId="77777777" w:rsidR="00D058B8" w:rsidRPr="00646EC7" w:rsidRDefault="00D058B8" w:rsidP="00D058B8">
      <w:pPr>
        <w:pStyle w:val="LineBottom"/>
      </w:pPr>
    </w:p>
    <w:p w14:paraId="1DD70033" w14:textId="4F064646" w:rsidR="00530973" w:rsidRPr="00646EC7" w:rsidRDefault="00530973" w:rsidP="00530973">
      <w:pPr>
        <w:pStyle w:val="ATHeading1"/>
      </w:pPr>
      <w:bookmarkStart w:id="0" w:name="TANumber"/>
      <w:r w:rsidRPr="00646EC7">
        <w:t>P10_TA(202</w:t>
      </w:r>
      <w:r w:rsidR="008D445A">
        <w:t>6</w:t>
      </w:r>
      <w:r w:rsidRPr="00646EC7">
        <w:t>)00</w:t>
      </w:r>
      <w:r w:rsidR="00646EC7" w:rsidRPr="00646EC7">
        <w:t>3</w:t>
      </w:r>
      <w:r w:rsidRPr="00646EC7">
        <w:t>0</w:t>
      </w:r>
      <w:bookmarkEnd w:id="0"/>
    </w:p>
    <w:p w14:paraId="5C2F6377" w14:textId="77777777" w:rsidR="00530973" w:rsidRPr="00646EC7" w:rsidRDefault="00530973" w:rsidP="00530973">
      <w:pPr>
        <w:pStyle w:val="ATHeading2"/>
      </w:pPr>
      <w:bookmarkStart w:id="1" w:name="title"/>
      <w:r w:rsidRPr="00646EC7">
        <w:t>Clauza de salvgardare bilaterală din Acordul de parteneriat UE-</w:t>
      </w:r>
      <w:proofErr w:type="spellStart"/>
      <w:r w:rsidRPr="00646EC7">
        <w:t>Mercosur</w:t>
      </w:r>
      <w:proofErr w:type="spellEnd"/>
      <w:r w:rsidRPr="00646EC7">
        <w:t xml:space="preserve"> și din Acordul comercial interimar UE-</w:t>
      </w:r>
      <w:proofErr w:type="spellStart"/>
      <w:r w:rsidRPr="00646EC7">
        <w:t>Mercosur</w:t>
      </w:r>
      <w:proofErr w:type="spellEnd"/>
      <w:r w:rsidRPr="00646EC7">
        <w:t xml:space="preserve"> în ceea ce privește produsele agricole</w:t>
      </w:r>
      <w:bookmarkEnd w:id="1"/>
    </w:p>
    <w:p w14:paraId="2107BC40" w14:textId="77777777" w:rsidR="00530973" w:rsidRPr="00646EC7" w:rsidRDefault="00530973" w:rsidP="00530973">
      <w:pPr>
        <w:rPr>
          <w:i/>
          <w:vanish/>
        </w:rPr>
      </w:pPr>
      <w:r w:rsidRPr="00646EC7">
        <w:rPr>
          <w:i/>
        </w:rPr>
        <w:fldChar w:fldCharType="begin"/>
      </w:r>
      <w:r w:rsidRPr="00646EC7">
        <w:rPr>
          <w:i/>
        </w:rPr>
        <w:instrText xml:space="preserve"> TC"(</w:instrText>
      </w:r>
      <w:bookmarkStart w:id="2" w:name="DocNumber"/>
      <w:r w:rsidRPr="00646EC7">
        <w:rPr>
          <w:i/>
        </w:rPr>
        <w:instrText>A10-0254/2025</w:instrText>
      </w:r>
      <w:bookmarkEnd w:id="2"/>
      <w:r w:rsidRPr="00646EC7">
        <w:rPr>
          <w:i/>
        </w:rPr>
        <w:instrText xml:space="preserve"> - Raportor: Gabriel Mato)"\l3 \n&gt; \* MERGEFORMAT </w:instrText>
      </w:r>
      <w:r w:rsidRPr="00646EC7">
        <w:rPr>
          <w:i/>
        </w:rPr>
        <w:fldChar w:fldCharType="end"/>
      </w:r>
    </w:p>
    <w:p w14:paraId="40CDABEE" w14:textId="77777777" w:rsidR="00530973" w:rsidRPr="00646EC7" w:rsidRDefault="00530973" w:rsidP="00530973">
      <w:pPr>
        <w:rPr>
          <w:vanish/>
        </w:rPr>
      </w:pPr>
      <w:bookmarkStart w:id="3" w:name="Commission"/>
      <w:r w:rsidRPr="00646EC7">
        <w:rPr>
          <w:vanish/>
        </w:rPr>
        <w:t>Comisia pentru comerț internațional</w:t>
      </w:r>
      <w:bookmarkEnd w:id="3"/>
    </w:p>
    <w:p w14:paraId="2D49AAA5" w14:textId="77777777" w:rsidR="00530973" w:rsidRPr="00646EC7" w:rsidRDefault="00530973" w:rsidP="00530973">
      <w:pPr>
        <w:rPr>
          <w:vanish/>
        </w:rPr>
      </w:pPr>
      <w:bookmarkStart w:id="4" w:name="PE"/>
      <w:r w:rsidRPr="00646EC7">
        <w:rPr>
          <w:vanish/>
        </w:rPr>
        <w:t>PE779.615</w:t>
      </w:r>
      <w:bookmarkEnd w:id="4"/>
    </w:p>
    <w:p w14:paraId="7E2445F8" w14:textId="1FBE65DA" w:rsidR="00530973" w:rsidRPr="00646EC7" w:rsidRDefault="00530973" w:rsidP="00530973">
      <w:pPr>
        <w:pStyle w:val="ATHeading3"/>
      </w:pPr>
      <w:bookmarkStart w:id="5" w:name="Sujet"/>
      <w:r w:rsidRPr="00646EC7">
        <w:t xml:space="preserve">Rezoluția legislativă a Parlamentului European din </w:t>
      </w:r>
      <w:r w:rsidR="00AB2BF4" w:rsidRPr="00646EC7">
        <w:t>10 februarie</w:t>
      </w:r>
      <w:r w:rsidRPr="00646EC7">
        <w:t xml:space="preserve"> 202</w:t>
      </w:r>
      <w:r w:rsidR="00F512FF" w:rsidRPr="00646EC7">
        <w:t>6</w:t>
      </w:r>
      <w:r w:rsidRPr="00646EC7">
        <w:t xml:space="preserve"> referitoare la propunerea de regulament al Parlamentului European și al Consiliului de punere în aplicare a clauzei de salvgardare bilaterale din Acordul de parteneriat UE-</w:t>
      </w:r>
      <w:proofErr w:type="spellStart"/>
      <w:r w:rsidRPr="00646EC7">
        <w:t>Mercosur</w:t>
      </w:r>
      <w:proofErr w:type="spellEnd"/>
      <w:r w:rsidRPr="00646EC7">
        <w:t xml:space="preserve"> și din Acordul comercial interimar UE-</w:t>
      </w:r>
      <w:proofErr w:type="spellStart"/>
      <w:r w:rsidRPr="00646EC7">
        <w:t>Mercosur</w:t>
      </w:r>
      <w:proofErr w:type="spellEnd"/>
      <w:r w:rsidRPr="00646EC7">
        <w:t xml:space="preserve"> în ceea ce privește produsele agricole</w:t>
      </w:r>
      <w:bookmarkEnd w:id="5"/>
      <w:r w:rsidRPr="00646EC7">
        <w:t xml:space="preserve"> </w:t>
      </w:r>
      <w:bookmarkStart w:id="6" w:name="References"/>
      <w:r w:rsidRPr="00646EC7">
        <w:t>(COM(2025)0639 – C10-0247/2025 – 2025/0322(COD))</w:t>
      </w:r>
      <w:bookmarkEnd w:id="6"/>
    </w:p>
    <w:p w14:paraId="7EC134A3" w14:textId="77777777" w:rsidR="009B7FCF" w:rsidRPr="00646EC7" w:rsidRDefault="009B7FCF" w:rsidP="009B7FCF">
      <w:pPr>
        <w:pStyle w:val="NormalBold"/>
      </w:pPr>
      <w:r w:rsidRPr="00646EC7">
        <w:t>(Procedura legislativă ordinară: prima lectură)</w:t>
      </w:r>
    </w:p>
    <w:p w14:paraId="550D4A00" w14:textId="77777777" w:rsidR="009B7FCF" w:rsidRPr="00646EC7" w:rsidRDefault="009B7FCF" w:rsidP="009B7FCF">
      <w:pPr>
        <w:pStyle w:val="EPComma"/>
      </w:pPr>
      <w:r w:rsidRPr="00646EC7">
        <w:rPr>
          <w:i/>
          <w:iCs/>
        </w:rPr>
        <w:t>Parlamentul European</w:t>
      </w:r>
      <w:r w:rsidRPr="00646EC7">
        <w:t>,</w:t>
      </w:r>
    </w:p>
    <w:p w14:paraId="79DCB458" w14:textId="77777777" w:rsidR="009B7FCF" w:rsidRPr="00646EC7" w:rsidRDefault="009B7FCF" w:rsidP="009B7FCF">
      <w:pPr>
        <w:pStyle w:val="NormalHanging12a"/>
      </w:pPr>
      <w:r w:rsidRPr="00646EC7">
        <w:t>–</w:t>
      </w:r>
      <w:r w:rsidRPr="00646EC7">
        <w:tab/>
        <w:t>având în vedere propunerea Comisiei prezentată Parlamentului European și Consiliului (COM(2025)0639),</w:t>
      </w:r>
    </w:p>
    <w:p w14:paraId="22FF85B6" w14:textId="5E30D5B9" w:rsidR="009B7FCF" w:rsidRPr="00646EC7" w:rsidRDefault="009B7FCF" w:rsidP="009B7FCF">
      <w:pPr>
        <w:pStyle w:val="NormalHanging12a"/>
      </w:pPr>
      <w:r w:rsidRPr="00646EC7">
        <w:t>–</w:t>
      </w:r>
      <w:r w:rsidRPr="00646EC7">
        <w:tab/>
        <w:t xml:space="preserve">având în vedere articolul 294 alineatul (2) și articolul 207 alineatul (2) din Tratatul privind funcționarea Uniunii Europene, în temeiul cărora propunerea </w:t>
      </w:r>
      <w:r w:rsidR="00C26E34" w:rsidRPr="00646EC7">
        <w:t xml:space="preserve">a fost prezentată de către Comisie </w:t>
      </w:r>
      <w:r w:rsidRPr="00646EC7">
        <w:t>(C10</w:t>
      </w:r>
      <w:r w:rsidRPr="00646EC7">
        <w:noBreakHyphen/>
        <w:t>0247/2025),</w:t>
      </w:r>
    </w:p>
    <w:p w14:paraId="3FB966C4" w14:textId="77777777" w:rsidR="009B7FCF" w:rsidRPr="00646EC7" w:rsidRDefault="009B7FCF" w:rsidP="009B7FCF">
      <w:pPr>
        <w:pStyle w:val="NormalHanging12a"/>
      </w:pPr>
      <w:r w:rsidRPr="00646EC7">
        <w:t>–</w:t>
      </w:r>
      <w:r w:rsidRPr="00646EC7">
        <w:tab/>
        <w:t>având în vedere articolul 294 alineatul (3) din Tratatul privind funcționarea Uniunii Europene,</w:t>
      </w:r>
    </w:p>
    <w:p w14:paraId="40DC7270" w14:textId="3A6ABAEC" w:rsidR="00AB2BF4" w:rsidRPr="00646EC7" w:rsidRDefault="00AB2BF4" w:rsidP="009B7FCF">
      <w:pPr>
        <w:pStyle w:val="NormalHanging12a"/>
      </w:pPr>
      <w:bookmarkStart w:id="7" w:name="_Hlk221545669"/>
      <w:r w:rsidRPr="00646EC7">
        <w:t>–</w:t>
      </w:r>
      <w:r w:rsidRPr="00646EC7">
        <w:tab/>
        <w:t>având în vedere acordul provizoriu aprobat de comisia competentă în temeiul articolului 75 alineatul (4) din Regulamentul său de procedură și angajamentul reprezentantului Consiliului, exprimat în scrisoarea din 9 ianuarie 2026, de a aproba poziția Parlamentului în conformitate c</w:t>
      </w:r>
      <w:r w:rsidR="006D5EB4" w:rsidRPr="00646EC7">
        <w:t> </w:t>
      </w:r>
      <w:r w:rsidRPr="00646EC7">
        <w:t>u articolul 294 alineatul (4) din Tratatul privind funcționarea Uniunii Europene,</w:t>
      </w:r>
      <w:bookmarkEnd w:id="7"/>
    </w:p>
    <w:p w14:paraId="46A84A44" w14:textId="0AA396CA" w:rsidR="009B7FCF" w:rsidRPr="00646EC7" w:rsidRDefault="009B7FCF" w:rsidP="009B7FCF">
      <w:pPr>
        <w:pStyle w:val="NormalHanging12a"/>
      </w:pPr>
      <w:r w:rsidRPr="00646EC7">
        <w:t>–</w:t>
      </w:r>
      <w:r w:rsidRPr="00646EC7">
        <w:tab/>
        <w:t>având în vedere articolul 60 din Regulamentul său de procedură,</w:t>
      </w:r>
    </w:p>
    <w:p w14:paraId="4135DD1B" w14:textId="1BAC605B" w:rsidR="009B7FCF" w:rsidRPr="00646EC7" w:rsidRDefault="009B7FCF" w:rsidP="009B7FCF">
      <w:pPr>
        <w:pStyle w:val="NormalHanging12a"/>
      </w:pPr>
      <w:r w:rsidRPr="00646EC7">
        <w:t>–</w:t>
      </w:r>
      <w:r w:rsidRPr="00646EC7">
        <w:tab/>
      </w:r>
      <w:r w:rsidR="008E3270" w:rsidRPr="00646EC7">
        <w:t xml:space="preserve">având în vedere raportul Comisiei pentru comerț internațional </w:t>
      </w:r>
      <w:r w:rsidRPr="00646EC7">
        <w:t>(A10-0254/2025),</w:t>
      </w:r>
    </w:p>
    <w:p w14:paraId="4A703CCF" w14:textId="54AD78D2" w:rsidR="009B7FCF" w:rsidRPr="00646EC7" w:rsidRDefault="009B7FCF" w:rsidP="009B7FCF">
      <w:pPr>
        <w:pStyle w:val="NormalHanging12a"/>
      </w:pPr>
      <w:r w:rsidRPr="00646EC7">
        <w:lastRenderedPageBreak/>
        <w:t>1.</w:t>
      </w:r>
      <w:r w:rsidRPr="00646EC7">
        <w:tab/>
        <w:t>adoptă poziția sa în primă lectură prezentată în continuare</w:t>
      </w:r>
      <w:r w:rsidR="00AB2BF4" w:rsidRPr="00646EC7">
        <w:rPr>
          <w:rStyle w:val="FootnoteReference"/>
        </w:rPr>
        <w:footnoteReference w:id="1"/>
      </w:r>
      <w:r w:rsidRPr="00646EC7">
        <w:t>;</w:t>
      </w:r>
    </w:p>
    <w:p w14:paraId="78C07764" w14:textId="77777777" w:rsidR="00AB2BF4" w:rsidRPr="00646EC7" w:rsidRDefault="00AB2BF4" w:rsidP="009B7FCF">
      <w:pPr>
        <w:pStyle w:val="NormalHanging12a"/>
      </w:pPr>
      <w:r w:rsidRPr="00646EC7">
        <w:t>2.</w:t>
      </w:r>
      <w:r w:rsidRPr="00646EC7">
        <w:tab/>
        <w:t xml:space="preserve">ia act de declarația Comisiei anexată la prezenta rezoluție, care va fi publicată în seria C a </w:t>
      </w:r>
      <w:r w:rsidRPr="00646EC7">
        <w:rPr>
          <w:i/>
        </w:rPr>
        <w:t>Jurnalului Oficial al Uniunii Europene</w:t>
      </w:r>
      <w:r w:rsidRPr="00646EC7">
        <w:t>;</w:t>
      </w:r>
    </w:p>
    <w:p w14:paraId="4ED9AF89" w14:textId="171C8977" w:rsidR="009B7FCF" w:rsidRPr="00646EC7" w:rsidRDefault="00AB2BF4" w:rsidP="009B7FCF">
      <w:pPr>
        <w:pStyle w:val="NormalHanging12a"/>
      </w:pPr>
      <w:r w:rsidRPr="00646EC7">
        <w:t>3</w:t>
      </w:r>
      <w:r w:rsidR="009B7FCF" w:rsidRPr="00646EC7">
        <w:t>.</w:t>
      </w:r>
      <w:r w:rsidR="009B7FCF" w:rsidRPr="00646EC7">
        <w:tab/>
        <w:t>solicită Comisiei să îl sesizeze din nou în cazul în care își înlocuiește, își modifică în mod substanțial sau intenționează să-și modifice în mod substanțial propunerea;</w:t>
      </w:r>
    </w:p>
    <w:p w14:paraId="6A323455" w14:textId="3CD25BB8" w:rsidR="00AB2BF4" w:rsidRPr="00646EC7" w:rsidRDefault="00AB2BF4" w:rsidP="009B7FCF">
      <w:pPr>
        <w:pStyle w:val="NormalHanging12a"/>
        <w:sectPr w:rsidR="00AB2BF4" w:rsidRPr="00646EC7" w:rsidSect="003C5B8B">
          <w:footnotePr>
            <w:numRestart w:val="eachSect"/>
          </w:footnotePr>
          <w:endnotePr>
            <w:numFmt w:val="decimal"/>
          </w:endnotePr>
          <w:pgSz w:w="11906" w:h="16838" w:code="9"/>
          <w:pgMar w:top="1134" w:right="1418" w:bottom="1418" w:left="1418" w:header="1134" w:footer="567" w:gutter="0"/>
          <w:cols w:space="720"/>
          <w:noEndnote/>
          <w:docGrid w:linePitch="326"/>
        </w:sectPr>
      </w:pPr>
      <w:r w:rsidRPr="00646EC7">
        <w:t>4</w:t>
      </w:r>
      <w:r w:rsidR="009B7FCF" w:rsidRPr="00646EC7">
        <w:t>.</w:t>
      </w:r>
      <w:r w:rsidR="009B7FCF" w:rsidRPr="00646EC7">
        <w:tab/>
        <w:t>încredințează Președintei sarcina de a transmite Consiliului și Comisiei, precum și parlamentelor naționale poziția Parlamentului.</w:t>
      </w:r>
    </w:p>
    <w:p w14:paraId="16E7AAF5" w14:textId="6CDD1A13" w:rsidR="00AB2BF4" w:rsidRPr="00646EC7" w:rsidRDefault="00AB2BF4" w:rsidP="00AB2BF4">
      <w:pPr>
        <w:rPr>
          <w:b/>
        </w:rPr>
      </w:pPr>
      <w:bookmarkStart w:id="8" w:name="_Hlk214960417"/>
      <w:bookmarkStart w:id="9" w:name="_Hlk214962315"/>
      <w:r w:rsidRPr="00646EC7">
        <w:rPr>
          <w:b/>
        </w:rPr>
        <w:lastRenderedPageBreak/>
        <w:t>P10_TC1-COD(2025)0322</w:t>
      </w:r>
    </w:p>
    <w:p w14:paraId="4BCBAF53" w14:textId="3ED13E7D" w:rsidR="000F16AA" w:rsidRDefault="00AB2BF4" w:rsidP="000F16AA">
      <w:pPr>
        <w:spacing w:before="240"/>
        <w:rPr>
          <w:rFonts w:eastAsia="Calibri"/>
          <w:b/>
          <w:szCs w:val="24"/>
          <w:lang w:eastAsia="en-US"/>
        </w:rPr>
      </w:pPr>
      <w:r w:rsidRPr="00646EC7">
        <w:rPr>
          <w:b/>
        </w:rPr>
        <w:t xml:space="preserve">Poziția Parlamentului European adoptată în primă lectură la 10 februarie 2026 în vederea adoptării Regulamentului (UE) 2026/... al Parlamentului European și al Consiliului </w:t>
      </w:r>
      <w:bookmarkEnd w:id="8"/>
      <w:bookmarkEnd w:id="9"/>
      <w:r w:rsidR="000F16AA" w:rsidRPr="00646EC7">
        <w:rPr>
          <w:rFonts w:eastAsia="Calibri"/>
          <w:b/>
          <w:szCs w:val="24"/>
          <w:lang w:eastAsia="en-US"/>
        </w:rPr>
        <w:t>de punere în aplicare a clauzelor de salvgardare bilaterale din Acordul de parteneriat UE-Mercosur și din Acordul interimar privind comerțul UE-Mercosur în ceea ce privește produsele agricole</w:t>
      </w:r>
    </w:p>
    <w:p w14:paraId="55F0901A" w14:textId="29A45454" w:rsidR="003D23D3" w:rsidRPr="00B50B3A" w:rsidRDefault="003D23D3" w:rsidP="003D23D3">
      <w:pPr>
        <w:spacing w:before="240"/>
        <w:rPr>
          <w:b/>
          <w:szCs w:val="24"/>
        </w:rPr>
      </w:pPr>
      <w:r w:rsidRPr="00B50B3A">
        <w:rPr>
          <w:rStyle w:val="ATHeading3Char"/>
          <w:b w:val="0"/>
          <w:i/>
        </w:rPr>
        <w:t>(Întrucât s-a ajuns la un acord între Parlament și Consiliu, poziția Parlamentului corespunde cu actul legislativ final, Regulamentul (UE) 2026/</w:t>
      </w:r>
      <w:r>
        <w:rPr>
          <w:rStyle w:val="ATHeading3Char"/>
          <w:b w:val="0"/>
          <w:i/>
        </w:rPr>
        <w:t>687</w:t>
      </w:r>
      <w:r w:rsidRPr="00B50B3A">
        <w:rPr>
          <w:rStyle w:val="ATHeading3Char"/>
          <w:b w:val="0"/>
          <w:i/>
        </w:rPr>
        <w:t>.)</w:t>
      </w:r>
    </w:p>
    <w:p w14:paraId="715ECB27" w14:textId="77777777" w:rsidR="000F16AA" w:rsidRDefault="000F16AA" w:rsidP="00991A5B">
      <w:pPr>
        <w:widowControl/>
        <w:spacing w:before="120" w:after="120" w:line="360" w:lineRule="auto"/>
        <w:ind w:left="851" w:hanging="851"/>
        <w:rPr>
          <w:rFonts w:eastAsia="Calibri"/>
          <w:szCs w:val="24"/>
          <w:lang w:eastAsia="en-US"/>
        </w:rPr>
      </w:pPr>
    </w:p>
    <w:p w14:paraId="1595C11A" w14:textId="74DA4C2B" w:rsidR="00991A5B" w:rsidRPr="00646EC7" w:rsidRDefault="00991A5B" w:rsidP="00991A5B">
      <w:pPr>
        <w:widowControl/>
        <w:spacing w:before="120" w:after="120" w:line="360" w:lineRule="auto"/>
        <w:ind w:left="851" w:hanging="851"/>
        <w:rPr>
          <w:rFonts w:eastAsia="Calibri"/>
          <w:szCs w:val="24"/>
          <w:lang w:eastAsia="en-US"/>
        </w:rPr>
        <w:sectPr w:rsidR="00991A5B" w:rsidRPr="00646EC7" w:rsidSect="000F16AA">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4F3573" w14:textId="4376BB90" w:rsidR="002223EF" w:rsidRPr="00646EC7" w:rsidRDefault="002223EF" w:rsidP="00646EC7">
      <w:pPr>
        <w:pStyle w:val="Normal12a"/>
        <w:jc w:val="right"/>
        <w:rPr>
          <w:rFonts w:eastAsia="Aptos"/>
          <w:b/>
          <w:kern w:val="2"/>
          <w:szCs w:val="24"/>
          <w:lang w:eastAsia="ro-RO" w:bidi="ro-RO"/>
          <w14:ligatures w14:val="standardContextual"/>
        </w:rPr>
      </w:pPr>
      <w:bookmarkStart w:id="10" w:name="restart"/>
      <w:r w:rsidRPr="00646EC7">
        <w:rPr>
          <w:rFonts w:eastAsia="Aptos"/>
          <w:b/>
          <w:kern w:val="2"/>
          <w:szCs w:val="24"/>
          <w:lang w:eastAsia="ro-RO" w:bidi="ro-RO"/>
          <w14:ligatures w14:val="standardContextual"/>
        </w:rPr>
        <w:lastRenderedPageBreak/>
        <w:t>ANEXĂ LA REZOLUȚIA LEGISLATIVĂ</w:t>
      </w:r>
    </w:p>
    <w:p w14:paraId="5892B8C8" w14:textId="3A2430AF" w:rsidR="000F16AA" w:rsidRPr="00646EC7" w:rsidRDefault="000F16AA" w:rsidP="00991A5B">
      <w:pPr>
        <w:pStyle w:val="Normal12a"/>
        <w:rPr>
          <w:rFonts w:eastAsia="Aptos"/>
          <w:b/>
          <w:bCs/>
          <w:kern w:val="2"/>
          <w:szCs w:val="24"/>
          <w:lang w:eastAsia="en-US"/>
          <w14:ligatures w14:val="standardContextual"/>
        </w:rPr>
      </w:pPr>
      <w:r w:rsidRPr="00646EC7">
        <w:rPr>
          <w:rFonts w:eastAsia="Aptos"/>
          <w:b/>
          <w:kern w:val="2"/>
          <w:szCs w:val="24"/>
          <w:lang w:eastAsia="ro-RO" w:bidi="ro-RO"/>
          <w14:ligatures w14:val="standardContextual"/>
        </w:rPr>
        <w:t>Declarația Comisiei privind standardele de producție aplicate produselor agroalimentare importate și controalele SPS</w:t>
      </w:r>
      <w:r w:rsidRPr="00646EC7">
        <w:rPr>
          <w:rFonts w:eastAsia="Aptos"/>
          <w:b/>
          <w:bCs/>
          <w:kern w:val="2"/>
          <w:szCs w:val="24"/>
          <w:lang w:eastAsia="en-US"/>
          <w14:ligatures w14:val="standardContextual"/>
        </w:rPr>
        <w:t xml:space="preserve"> cu ocazia adoptării Regulamentului (UE) </w:t>
      </w:r>
      <w:r w:rsidRPr="00991A5B">
        <w:rPr>
          <w:rFonts w:eastAsia="Aptos"/>
          <w:b/>
          <w:bCs/>
          <w:kern w:val="2"/>
          <w:szCs w:val="24"/>
          <w:lang w:eastAsia="en-US"/>
          <w14:ligatures w14:val="standardContextual"/>
        </w:rPr>
        <w:t>2026/</w:t>
      </w:r>
      <w:r w:rsidR="00991A5B" w:rsidRPr="00991A5B">
        <w:rPr>
          <w:rFonts w:eastAsia="Aptos"/>
          <w:b/>
          <w:bCs/>
          <w:kern w:val="2"/>
          <w:szCs w:val="24"/>
          <w:lang w:val="en-IE" w:eastAsia="en-US"/>
          <w14:ligatures w14:val="standardContextual"/>
        </w:rPr>
        <w:t>687</w:t>
      </w:r>
      <w:r w:rsidR="00991A5B" w:rsidRPr="00991A5B">
        <w:rPr>
          <w:rStyle w:val="FootnoteReference"/>
          <w:rFonts w:eastAsia="Aptos"/>
          <w:kern w:val="2"/>
          <w:szCs w:val="22"/>
          <w:lang w:eastAsia="en-US"/>
          <w14:ligatures w14:val="standardContextual"/>
        </w:rPr>
        <w:footnoteReference w:id="2"/>
      </w:r>
    </w:p>
    <w:p w14:paraId="0FC7B776" w14:textId="77777777" w:rsidR="000F16AA" w:rsidRPr="00646EC7" w:rsidRDefault="000F16AA" w:rsidP="00646EC7">
      <w:pPr>
        <w:widowControl/>
        <w:spacing w:before="240"/>
        <w:rPr>
          <w:rFonts w:eastAsia="Aptos"/>
          <w:kern w:val="2"/>
          <w:szCs w:val="24"/>
          <w:lang w:eastAsia="en-US"/>
          <w14:ligatures w14:val="standardContextual"/>
        </w:rPr>
      </w:pPr>
      <w:r w:rsidRPr="00646EC7">
        <w:rPr>
          <w:rFonts w:eastAsia="Aptos"/>
          <w:kern w:val="2"/>
          <w:szCs w:val="24"/>
          <w:lang w:eastAsia="en-US"/>
          <w14:ligatures w14:val="standardContextual"/>
        </w:rPr>
        <w:t>În Viziunea pentru agricultură și sectorul alimentar, Comisia și-a anunțat planurile de a urmări o mai bună aliniere a standardelor de producție aplicate produselor importate, în special cele referitoare la bunăstarea animalelor și la pesticide.</w:t>
      </w:r>
    </w:p>
    <w:p w14:paraId="7BD5E56F" w14:textId="77777777" w:rsidR="000F16AA" w:rsidRPr="00646EC7" w:rsidRDefault="000F16AA" w:rsidP="00646EC7">
      <w:pPr>
        <w:widowControl/>
        <w:spacing w:before="240"/>
        <w:rPr>
          <w:rFonts w:eastAsia="Aptos"/>
          <w:kern w:val="2"/>
          <w:szCs w:val="24"/>
          <w:lang w:eastAsia="en-US"/>
          <w14:ligatures w14:val="standardContextual"/>
        </w:rPr>
      </w:pPr>
      <w:r w:rsidRPr="00646EC7">
        <w:rPr>
          <w:rFonts w:eastAsia="Aptos"/>
          <w:kern w:val="2"/>
          <w:szCs w:val="24"/>
          <w:lang w:eastAsia="en-US"/>
          <w14:ligatures w14:val="standardContextual"/>
        </w:rPr>
        <w:t>În ceea ce privește pesticidele, viziunea include principiul conform căruia nu ar trebui să se permită reintroducerea în UE, prin intermediul produselor importate, a pesticidelor celor mai periculoase interzise în UE din considerente de sănătate și mediu, urmărindu-se astfel să se evite un dezavantaj concurențial pentru fermierii și sectorul agroalimentar din UE și răspunzându-se în același timp așteptărilor consumatorilor. Pentru a progresa în această direcție, Comisia a lansat, la 25 noiembrie 2025, un studiu în scopul pregătirii unei evaluări a impactului care să analizeze efectele acestei abordări. În contextul rezultatelor și, dacă este necesar, Comisia va propune modificări ale cadrului juridic aplicabil. Studiul preliminar ar urma să se încheie până în vara anului 2026 și va fi urmat de etapele ulterioare ale evaluării impactului. Deși legislația existentă a UE protejează deja consumatorii și asigură că toate produsele alimentare introduse pe piață respectă standardele noastre ridicate în materie de sănătate și siguranță, Comisia își menține angajamentul de a urmări o aliniere mai bună a standardelor de producție care se aplică produselor importate, asigurând condiții de concurență echitabile pentru fermierii și producătorii noștri și menținând protecția consumatorilor.</w:t>
      </w:r>
    </w:p>
    <w:p w14:paraId="57CFBCAC" w14:textId="77777777" w:rsidR="000F16AA" w:rsidRPr="00646EC7" w:rsidRDefault="000F16AA" w:rsidP="00646EC7">
      <w:pPr>
        <w:widowControl/>
        <w:spacing w:before="240"/>
        <w:rPr>
          <w:rFonts w:eastAsia="Aptos"/>
          <w:kern w:val="2"/>
          <w:szCs w:val="24"/>
          <w:lang w:eastAsia="en-US"/>
          <w14:ligatures w14:val="standardContextual"/>
        </w:rPr>
      </w:pPr>
      <w:r w:rsidRPr="00646EC7">
        <w:rPr>
          <w:rFonts w:eastAsia="Aptos"/>
          <w:kern w:val="2"/>
          <w:szCs w:val="24"/>
          <w:lang w:eastAsia="en-US"/>
          <w14:ligatures w14:val="standardContextual"/>
        </w:rPr>
        <w:t>Între timp, Comisia a propus, în cadrul propunerii de pachet de simplificare privind produsele alimentare și siguranța din 16 decembrie 2025, modificarea legislației actuale pentru a prevedea că, pentru substanțele care nu sunt aprobate în Uniune și prezintă anumite proprietăți deosebit de periculoase, limitele maxime de reziduuri (LMR) pot fi stabilite la nivel zero dacă acest lucru este considerat adecvat în urma rezultatului unei evaluări a impactului.</w:t>
      </w:r>
    </w:p>
    <w:p w14:paraId="5785FB4F" w14:textId="77777777" w:rsidR="000F16AA" w:rsidRPr="00646EC7" w:rsidRDefault="000F16AA" w:rsidP="00646EC7">
      <w:pPr>
        <w:widowControl/>
        <w:spacing w:before="240"/>
        <w:rPr>
          <w:rFonts w:eastAsia="Aptos"/>
          <w:kern w:val="2"/>
          <w:szCs w:val="24"/>
          <w:lang w:eastAsia="en-US"/>
          <w14:ligatures w14:val="standardContextual"/>
        </w:rPr>
      </w:pPr>
      <w:r w:rsidRPr="00646EC7">
        <w:rPr>
          <w:rFonts w:eastAsia="Aptos"/>
          <w:kern w:val="2"/>
          <w:szCs w:val="24"/>
          <w:lang w:eastAsia="en-US"/>
          <w14:ligatures w14:val="standardContextual"/>
        </w:rPr>
        <w:t>În ceea ce privește bunăstarea animalelor, Comisia a finalizat, la 17 decembrie 2025, o consultare publică referitoare la revizuirea legislației UE în materie de bunăstare a animalelor de fermă în legătură cu anumite animale, inclusiv la posibilitatea aplicării unor standarde echivalente în materie de bunăstare a animalelor și la măsura în care acestea ar trebui să se aplice importurilor de animale și de produse de origine animală. În urma evaluării impactului, Comisia va prezenta propuneri relevante.</w:t>
      </w:r>
    </w:p>
    <w:p w14:paraId="760AFD95" w14:textId="494EC762" w:rsidR="000F16AA" w:rsidRPr="00646EC7" w:rsidRDefault="000F16AA" w:rsidP="00507A8B">
      <w:pPr>
        <w:pStyle w:val="Normal12a"/>
        <w:spacing w:before="240"/>
      </w:pPr>
      <w:r w:rsidRPr="00646EC7">
        <w:rPr>
          <w:rFonts w:eastAsia="Aptos"/>
          <w:kern w:val="2"/>
          <w:szCs w:val="24"/>
          <w:lang w:eastAsia="en-US"/>
          <w14:ligatures w14:val="standardContextual"/>
        </w:rPr>
        <w:t xml:space="preserve">Referitor la controalele aplicate importurilor, Comisia a anunțat, la 9 decembrie 2025, planuri de intensificare și ameliorare a auditurilor desfășurate direct pe teren în toate țările terțe, incluzând importurile de alimente provenite din țările </w:t>
      </w:r>
      <w:proofErr w:type="spellStart"/>
      <w:r w:rsidRPr="00646EC7">
        <w:rPr>
          <w:rFonts w:eastAsia="Aptos"/>
          <w:kern w:val="2"/>
          <w:szCs w:val="24"/>
          <w:lang w:eastAsia="en-US"/>
          <w14:ligatures w14:val="standardContextual"/>
        </w:rPr>
        <w:t>Mercosur</w:t>
      </w:r>
      <w:proofErr w:type="spellEnd"/>
      <w:r w:rsidRPr="00646EC7">
        <w:rPr>
          <w:rFonts w:eastAsia="Aptos"/>
          <w:kern w:val="2"/>
          <w:szCs w:val="24"/>
          <w:lang w:eastAsia="en-US"/>
          <w14:ligatures w14:val="standardContextual"/>
        </w:rPr>
        <w:t>. Comisia își va spori numărul de audituri legate de exporturi în țări din afara UE cu 50 % în următorii 2 ani, începând cu 1</w:t>
      </w:r>
      <w:r w:rsidR="002223EF" w:rsidRPr="00646EC7">
        <w:rPr>
          <w:rFonts w:eastAsia="Aptos"/>
          <w:kern w:val="2"/>
          <w:szCs w:val="24"/>
          <w:lang w:eastAsia="en-US"/>
          <w14:ligatures w14:val="standardContextual"/>
        </w:rPr>
        <w:t> </w:t>
      </w:r>
      <w:r w:rsidRPr="00646EC7">
        <w:rPr>
          <w:rFonts w:eastAsia="Aptos"/>
          <w:kern w:val="2"/>
          <w:szCs w:val="24"/>
          <w:lang w:eastAsia="en-US"/>
          <w14:ligatures w14:val="standardContextual"/>
        </w:rPr>
        <w:t xml:space="preserve">ianuarie 2026. De asemenea, Comisia va intensifica monitorizarea mărfurilor neconforme și a țărilor care nu respectă normele și va adapta în consecință frecvența controalelor referitoare la acestea. În plus, Comisia va consolida nivelul controalelor în cadrul UE, și anume la principalele puncte de intrare. În această privință, Comisia va efectua un număr mai mare de verificări în statele membre, pentru a se asigura că controalele la frontiere respectă pe deplin standardele UE, acordând sprijin statelor membre pentru ca acestea să desfășoare controalele </w:t>
      </w:r>
      <w:r w:rsidRPr="00646EC7">
        <w:rPr>
          <w:rFonts w:eastAsia="Aptos"/>
          <w:kern w:val="2"/>
          <w:szCs w:val="24"/>
          <w:lang w:eastAsia="en-US"/>
          <w14:ligatures w14:val="standardContextual"/>
        </w:rPr>
        <w:lastRenderedPageBreak/>
        <w:t>respective în mod corespunzător. Comisia va înființa un grup operativ al UE specific pentru eficientizarea controalelor aplicate importurilor, care se va concentra îndeosebi pe reziduurile de pesticide, pe siguranța alimentelor și a hranei pentru animale și pe bunăstarea animalelor și va lua în considerare o acțiune coordonată a UE de monitorizare vizând produsele importate.</w:t>
      </w:r>
    </w:p>
    <w:bookmarkEnd w:id="10"/>
    <w:sectPr w:rsidR="000F16AA" w:rsidRPr="00646EC7" w:rsidSect="000F16A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EEC37" w14:textId="77777777" w:rsidR="00530973" w:rsidRPr="003C5B8B" w:rsidRDefault="00530973">
      <w:r w:rsidRPr="003C5B8B">
        <w:separator/>
      </w:r>
    </w:p>
  </w:endnote>
  <w:endnote w:type="continuationSeparator" w:id="0">
    <w:p w14:paraId="2E728523" w14:textId="77777777" w:rsidR="00530973" w:rsidRPr="003C5B8B" w:rsidRDefault="00530973">
      <w:r w:rsidRPr="003C5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3E18" w14:textId="5F2CB882" w:rsidR="000F16AA" w:rsidRPr="000F16AA" w:rsidRDefault="000F16AA" w:rsidP="000F1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D3C4" w14:textId="77777777" w:rsidR="002223EF" w:rsidRDefault="00222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E5FB" w14:textId="6E3553F9" w:rsidR="002223EF" w:rsidRPr="000F16AA" w:rsidRDefault="002223EF" w:rsidP="000F16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5198" w14:textId="77777777" w:rsidR="002223EF" w:rsidRDefault="00222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99A5D" w14:textId="77777777" w:rsidR="00530973" w:rsidRPr="003C5B8B" w:rsidRDefault="00530973">
      <w:r w:rsidRPr="003C5B8B">
        <w:separator/>
      </w:r>
    </w:p>
  </w:footnote>
  <w:footnote w:type="continuationSeparator" w:id="0">
    <w:p w14:paraId="25EDB6A9" w14:textId="77777777" w:rsidR="00530973" w:rsidRPr="003C5B8B" w:rsidRDefault="00530973">
      <w:r w:rsidRPr="003C5B8B">
        <w:continuationSeparator/>
      </w:r>
    </w:p>
  </w:footnote>
  <w:footnote w:id="1">
    <w:p w14:paraId="1E00E928" w14:textId="46629FC6" w:rsidR="00AB2BF4" w:rsidRPr="00646EC7" w:rsidRDefault="00AB2BF4" w:rsidP="00AB2BF4">
      <w:pPr>
        <w:pStyle w:val="FootnoteText"/>
        <w:ind w:left="567" w:hanging="567"/>
        <w:rPr>
          <w:lang w:val="ro-RO"/>
        </w:rPr>
      </w:pPr>
      <w:r w:rsidRPr="00646EC7">
        <w:rPr>
          <w:rStyle w:val="FootnoteReference"/>
          <w:sz w:val="24"/>
          <w:lang w:val="ro-RO"/>
        </w:rPr>
        <w:footnoteRef/>
      </w:r>
      <w:r w:rsidRPr="00646EC7">
        <w:rPr>
          <w:sz w:val="24"/>
          <w:lang w:val="ro-RO"/>
        </w:rPr>
        <w:t xml:space="preserve"> </w:t>
      </w:r>
      <w:r w:rsidRPr="00646EC7">
        <w:rPr>
          <w:sz w:val="24"/>
          <w:lang w:val="ro-RO"/>
        </w:rPr>
        <w:tab/>
        <w:t>Prezenta poziție înlocuiește amendamentele adoptate la 16 decembrie 2025 (Texte adoptate, P10_TA(2025)0315).</w:t>
      </w:r>
    </w:p>
  </w:footnote>
  <w:footnote w:id="2">
    <w:p w14:paraId="3E5B5477" w14:textId="0DD18691" w:rsidR="00991A5B" w:rsidRPr="000F5EB9" w:rsidRDefault="00991A5B" w:rsidP="00991A5B">
      <w:pPr>
        <w:pStyle w:val="FootnoteText"/>
        <w:ind w:left="709" w:hanging="709"/>
        <w:rPr>
          <w:sz w:val="24"/>
          <w:szCs w:val="24"/>
          <w:lang w:val="sk-SK"/>
        </w:rPr>
      </w:pPr>
      <w:r w:rsidRPr="00991A5B">
        <w:rPr>
          <w:rStyle w:val="FootnoteReference"/>
          <w:sz w:val="24"/>
          <w:szCs w:val="24"/>
        </w:rPr>
        <w:footnoteRef/>
      </w:r>
      <w:r w:rsidRPr="00991A5B">
        <w:rPr>
          <w:sz w:val="24"/>
          <w:szCs w:val="24"/>
          <w:lang w:val="fi-FI"/>
        </w:rPr>
        <w:t xml:space="preserve"> </w:t>
      </w:r>
      <w:r w:rsidRPr="00991A5B">
        <w:rPr>
          <w:sz w:val="24"/>
          <w:szCs w:val="24"/>
          <w:lang w:val="sk-SK"/>
        </w:rPr>
        <w:tab/>
      </w:r>
      <w:r w:rsidRPr="00991A5B">
        <w:rPr>
          <w:sz w:val="24"/>
          <w:szCs w:val="24"/>
          <w:lang w:val="sk-SK"/>
        </w:rPr>
        <w:t>J</w:t>
      </w:r>
      <w:r w:rsidRPr="00991A5B">
        <w:rPr>
          <w:sz w:val="24"/>
          <w:szCs w:val="24"/>
          <w:lang w:val="sk-SK"/>
        </w:rPr>
        <w:t>O</w:t>
      </w:r>
      <w:r w:rsidRPr="00991A5B">
        <w:rPr>
          <w:sz w:val="24"/>
          <w:szCs w:val="24"/>
          <w:lang w:val="sk-SK"/>
        </w:rPr>
        <w:t xml:space="preserve"> L, 2026/687, 19.3.2026, ELI: </w:t>
      </w:r>
      <w:hyperlink r:id="rId1" w:history="1">
        <w:r w:rsidRPr="00991A5B">
          <w:rPr>
            <w:rStyle w:val="Hyperlink"/>
            <w:szCs w:val="24"/>
            <w:lang w:val="sk-SK"/>
          </w:rPr>
          <w:t>http:/</w:t>
        </w:r>
        <w:r w:rsidRPr="00991A5B">
          <w:rPr>
            <w:rStyle w:val="Hyperlink"/>
            <w:szCs w:val="24"/>
            <w:lang w:val="sk-SK"/>
          </w:rPr>
          <w:t>/</w:t>
        </w:r>
        <w:r w:rsidRPr="00991A5B">
          <w:rPr>
            <w:rStyle w:val="Hyperlink"/>
            <w:szCs w:val="24"/>
            <w:lang w:val="sk-SK"/>
          </w:rPr>
          <w:t>data.europa.eu/eli/reg/2026/687/oj</w:t>
        </w:r>
      </w:hyperlink>
      <w:r w:rsidRPr="00991A5B">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F736" w14:textId="77777777" w:rsidR="002223EF" w:rsidRDefault="00222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FBA" w14:textId="77777777" w:rsidR="002223EF" w:rsidRDefault="00222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943B" w14:textId="77777777" w:rsidR="002223EF" w:rsidRDefault="00222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6574116">
    <w:abstractNumId w:val="9"/>
  </w:num>
  <w:num w:numId="2" w16cid:durableId="53628492">
    <w:abstractNumId w:val="9"/>
  </w:num>
  <w:num w:numId="3" w16cid:durableId="476607930">
    <w:abstractNumId w:val="7"/>
  </w:num>
  <w:num w:numId="4" w16cid:durableId="1205024414">
    <w:abstractNumId w:val="7"/>
  </w:num>
  <w:num w:numId="5" w16cid:durableId="60911263">
    <w:abstractNumId w:val="6"/>
  </w:num>
  <w:num w:numId="6" w16cid:durableId="583997472">
    <w:abstractNumId w:val="6"/>
  </w:num>
  <w:num w:numId="7" w16cid:durableId="564802601">
    <w:abstractNumId w:val="5"/>
  </w:num>
  <w:num w:numId="8" w16cid:durableId="716273562">
    <w:abstractNumId w:val="5"/>
  </w:num>
  <w:num w:numId="9" w16cid:durableId="1188789860">
    <w:abstractNumId w:val="4"/>
  </w:num>
  <w:num w:numId="10" w16cid:durableId="1403215622">
    <w:abstractNumId w:val="4"/>
  </w:num>
  <w:num w:numId="11" w16cid:durableId="272590491">
    <w:abstractNumId w:val="8"/>
  </w:num>
  <w:num w:numId="12" w16cid:durableId="675226005">
    <w:abstractNumId w:val="8"/>
  </w:num>
  <w:num w:numId="13" w16cid:durableId="631177895">
    <w:abstractNumId w:val="3"/>
  </w:num>
  <w:num w:numId="14" w16cid:durableId="574516251">
    <w:abstractNumId w:val="3"/>
  </w:num>
  <w:num w:numId="15" w16cid:durableId="1751540890">
    <w:abstractNumId w:val="2"/>
  </w:num>
  <w:num w:numId="16" w16cid:durableId="1667316045">
    <w:abstractNumId w:val="2"/>
  </w:num>
  <w:num w:numId="17" w16cid:durableId="1543323775">
    <w:abstractNumId w:val="1"/>
  </w:num>
  <w:num w:numId="18" w16cid:durableId="1541699777">
    <w:abstractNumId w:val="1"/>
  </w:num>
  <w:num w:numId="19" w16cid:durableId="2064326933">
    <w:abstractNumId w:val="0"/>
  </w:num>
  <w:num w:numId="20" w16cid:durableId="1062290440">
    <w:abstractNumId w:val="0"/>
  </w:num>
  <w:num w:numId="21" w16cid:durableId="1212229975">
    <w:abstractNumId w:val="9"/>
  </w:num>
  <w:num w:numId="22" w16cid:durableId="1975285704">
    <w:abstractNumId w:val="7"/>
  </w:num>
  <w:num w:numId="23" w16cid:durableId="1652714504">
    <w:abstractNumId w:val="6"/>
  </w:num>
  <w:num w:numId="24" w16cid:durableId="1557665584">
    <w:abstractNumId w:val="5"/>
  </w:num>
  <w:num w:numId="25" w16cid:durableId="204609348">
    <w:abstractNumId w:val="4"/>
  </w:num>
  <w:num w:numId="26" w16cid:durableId="882136592">
    <w:abstractNumId w:val="8"/>
  </w:num>
  <w:num w:numId="27" w16cid:durableId="644508830">
    <w:abstractNumId w:val="3"/>
  </w:num>
  <w:num w:numId="28" w16cid:durableId="1244796413">
    <w:abstractNumId w:val="2"/>
  </w:num>
  <w:num w:numId="29" w16cid:durableId="895244455">
    <w:abstractNumId w:val="1"/>
  </w:num>
  <w:num w:numId="30" w16cid:durableId="493838747">
    <w:abstractNumId w:val="0"/>
  </w:num>
  <w:num w:numId="31" w16cid:durableId="1254128337">
    <w:abstractNumId w:val="9"/>
  </w:num>
  <w:num w:numId="32" w16cid:durableId="1686906105">
    <w:abstractNumId w:val="7"/>
  </w:num>
  <w:num w:numId="33" w16cid:durableId="58409952">
    <w:abstractNumId w:val="6"/>
  </w:num>
  <w:num w:numId="34" w16cid:durableId="2057855661">
    <w:abstractNumId w:val="5"/>
  </w:num>
  <w:num w:numId="35" w16cid:durableId="2125999127">
    <w:abstractNumId w:val="4"/>
  </w:num>
  <w:num w:numId="36" w16cid:durableId="1619218077">
    <w:abstractNumId w:val="8"/>
  </w:num>
  <w:num w:numId="37" w16cid:durableId="243147956">
    <w:abstractNumId w:val="3"/>
  </w:num>
  <w:num w:numId="38" w16cid:durableId="1873835935">
    <w:abstractNumId w:val="2"/>
  </w:num>
  <w:num w:numId="39" w16cid:durableId="401605501">
    <w:abstractNumId w:val="1"/>
  </w:num>
  <w:num w:numId="40" w16cid:durableId="153688428">
    <w:abstractNumId w:val="0"/>
  </w:num>
  <w:num w:numId="41" w16cid:durableId="1144470673">
    <w:abstractNumId w:val="10"/>
  </w:num>
  <w:num w:numId="42" w16cid:durableId="166943869">
    <w:abstractNumId w:val="10"/>
  </w:num>
  <w:num w:numId="43" w16cid:durableId="1326127733">
    <w:abstractNumId w:val="10"/>
  </w:num>
  <w:num w:numId="44" w16cid:durableId="1976369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RO"/>
    <w:docVar w:name="dvnumam" w:val="24"/>
    <w:docVar w:name="dvpe" w:val="779.615"/>
    <w:docVar w:name="dvrapporteur" w:val="Raportor: "/>
    <w:docVar w:name="dvstar" w:val="***I"/>
    <w:docVar w:name="dvtitre" w:val="Rezoluția legislativă a Parlamentului European din ... decembrie 2025 referitoare la propunerea de regulament al Parlamentului European și al Consiliului de punere în aplicare a clauzei de salvgardare bilaterale din Acordul de parteneriat UE-Mercosur și din Acordul comercial interimar UE-Mercosur în ceea ce privește produsele agricole(COM(2025)0639 – C10-0247/2025 – 2025/0322(COD))"/>
  </w:docVars>
  <w:rsids>
    <w:rsidRoot w:val="00530973"/>
    <w:rsid w:val="00002272"/>
    <w:rsid w:val="00064002"/>
    <w:rsid w:val="000677B9"/>
    <w:rsid w:val="000831BA"/>
    <w:rsid w:val="000A42CC"/>
    <w:rsid w:val="000E7DD9"/>
    <w:rsid w:val="000F16AA"/>
    <w:rsid w:val="0010095E"/>
    <w:rsid w:val="00125B37"/>
    <w:rsid w:val="00134E34"/>
    <w:rsid w:val="00187494"/>
    <w:rsid w:val="00196926"/>
    <w:rsid w:val="001F32AE"/>
    <w:rsid w:val="001F68C8"/>
    <w:rsid w:val="002223EF"/>
    <w:rsid w:val="002767FF"/>
    <w:rsid w:val="002B18FE"/>
    <w:rsid w:val="002B5493"/>
    <w:rsid w:val="002C532C"/>
    <w:rsid w:val="00343214"/>
    <w:rsid w:val="00361C00"/>
    <w:rsid w:val="00395FA1"/>
    <w:rsid w:val="003C5B8B"/>
    <w:rsid w:val="003D23D3"/>
    <w:rsid w:val="003E15D4"/>
    <w:rsid w:val="00411CCE"/>
    <w:rsid w:val="0041666E"/>
    <w:rsid w:val="00421060"/>
    <w:rsid w:val="00471C19"/>
    <w:rsid w:val="004867E3"/>
    <w:rsid w:val="00494A28"/>
    <w:rsid w:val="004B0D7E"/>
    <w:rsid w:val="004C0004"/>
    <w:rsid w:val="004C5D52"/>
    <w:rsid w:val="0050519A"/>
    <w:rsid w:val="005072A1"/>
    <w:rsid w:val="00514517"/>
    <w:rsid w:val="00530973"/>
    <w:rsid w:val="00545827"/>
    <w:rsid w:val="00560270"/>
    <w:rsid w:val="005C2568"/>
    <w:rsid w:val="005F1B17"/>
    <w:rsid w:val="006037C0"/>
    <w:rsid w:val="00646EC7"/>
    <w:rsid w:val="006631B6"/>
    <w:rsid w:val="00680577"/>
    <w:rsid w:val="006D5EB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45A"/>
    <w:rsid w:val="008E3270"/>
    <w:rsid w:val="00930C23"/>
    <w:rsid w:val="0093193B"/>
    <w:rsid w:val="009509D8"/>
    <w:rsid w:val="00950B64"/>
    <w:rsid w:val="00981893"/>
    <w:rsid w:val="00986F1A"/>
    <w:rsid w:val="00991A5B"/>
    <w:rsid w:val="009B7FCF"/>
    <w:rsid w:val="009C0282"/>
    <w:rsid w:val="00A1687D"/>
    <w:rsid w:val="00A43E52"/>
    <w:rsid w:val="00A4678D"/>
    <w:rsid w:val="00A778C7"/>
    <w:rsid w:val="00AB2BF4"/>
    <w:rsid w:val="00AB441E"/>
    <w:rsid w:val="00AB6293"/>
    <w:rsid w:val="00AE0928"/>
    <w:rsid w:val="00AF3B82"/>
    <w:rsid w:val="00B12E95"/>
    <w:rsid w:val="00B22876"/>
    <w:rsid w:val="00B321AD"/>
    <w:rsid w:val="00B558F0"/>
    <w:rsid w:val="00BD48FE"/>
    <w:rsid w:val="00BD7BD8"/>
    <w:rsid w:val="00BE6ADC"/>
    <w:rsid w:val="00C05BFE"/>
    <w:rsid w:val="00C23CD4"/>
    <w:rsid w:val="00C26E34"/>
    <w:rsid w:val="00C61C0C"/>
    <w:rsid w:val="00C941CB"/>
    <w:rsid w:val="00CC2357"/>
    <w:rsid w:val="00CF071A"/>
    <w:rsid w:val="00CF335B"/>
    <w:rsid w:val="00D058B8"/>
    <w:rsid w:val="00D06775"/>
    <w:rsid w:val="00D377C3"/>
    <w:rsid w:val="00D56C11"/>
    <w:rsid w:val="00D834A0"/>
    <w:rsid w:val="00D872DF"/>
    <w:rsid w:val="00D91E21"/>
    <w:rsid w:val="00DA7FCD"/>
    <w:rsid w:val="00E365E1"/>
    <w:rsid w:val="00E7148B"/>
    <w:rsid w:val="00E820A4"/>
    <w:rsid w:val="00EB006A"/>
    <w:rsid w:val="00EB4772"/>
    <w:rsid w:val="00ED169E"/>
    <w:rsid w:val="00ED4235"/>
    <w:rsid w:val="00F04346"/>
    <w:rsid w:val="00F075DC"/>
    <w:rsid w:val="00F149E9"/>
    <w:rsid w:val="00F512F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4C5C6"/>
  <w15:chartTrackingRefBased/>
  <w15:docId w15:val="{BB4C60EF-F93E-44DB-AF06-81B7BCCB1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B7FCF"/>
    <w:pPr>
      <w:spacing w:after="120"/>
    </w:pPr>
  </w:style>
  <w:style w:type="paragraph" w:customStyle="1" w:styleId="NormalBold">
    <w:name w:val="NormalBold"/>
    <w:basedOn w:val="Normal"/>
    <w:link w:val="NormalBoldChar"/>
    <w:rsid w:val="009B7FCF"/>
    <w:rPr>
      <w:b/>
    </w:rPr>
  </w:style>
  <w:style w:type="paragraph" w:customStyle="1" w:styleId="NormalHanging12a">
    <w:name w:val="NormalHanging12a"/>
    <w:basedOn w:val="Normal"/>
    <w:rsid w:val="009B7FCF"/>
    <w:pPr>
      <w:spacing w:after="240"/>
      <w:ind w:left="567" w:hanging="567"/>
    </w:pPr>
  </w:style>
  <w:style w:type="paragraph" w:customStyle="1" w:styleId="AmColumnHeading">
    <w:name w:val="AmColumnHeading"/>
    <w:basedOn w:val="Normal"/>
    <w:rsid w:val="009B7FCF"/>
    <w:pPr>
      <w:spacing w:after="240"/>
      <w:jc w:val="center"/>
    </w:pPr>
    <w:rPr>
      <w:i/>
    </w:rPr>
  </w:style>
  <w:style w:type="paragraph" w:customStyle="1" w:styleId="AmNumberTabs">
    <w:name w:val="AmNumberTabs"/>
    <w:basedOn w:val="Normal"/>
    <w:rsid w:val="009B7F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7FCF"/>
    <w:pPr>
      <w:spacing w:before="240"/>
    </w:pPr>
    <w:rPr>
      <w:b/>
    </w:rPr>
  </w:style>
  <w:style w:type="paragraph" w:customStyle="1" w:styleId="EPComma">
    <w:name w:val="EPComma"/>
    <w:basedOn w:val="Normal"/>
    <w:rsid w:val="009B7FCF"/>
    <w:pPr>
      <w:spacing w:before="480" w:after="240"/>
    </w:pPr>
  </w:style>
  <w:style w:type="character" w:customStyle="1" w:styleId="NormalBoldChar">
    <w:name w:val="NormalBold Char"/>
    <w:basedOn w:val="DefaultParagraphFont"/>
    <w:link w:val="NormalBold"/>
    <w:locked/>
    <w:rsid w:val="009B7FCF"/>
    <w:rPr>
      <w:b/>
      <w:sz w:val="24"/>
      <w:lang w:val="ro-RO"/>
    </w:rPr>
  </w:style>
  <w:style w:type="paragraph" w:styleId="Revision">
    <w:name w:val="Revision"/>
    <w:hidden/>
    <w:uiPriority w:val="99"/>
    <w:semiHidden/>
    <w:rsid w:val="001F68C8"/>
    <w:rPr>
      <w:sz w:val="24"/>
      <w:lang w:val="ro-RO"/>
    </w:rPr>
  </w:style>
  <w:style w:type="character" w:styleId="Hyperlink">
    <w:name w:val="Hyperlink"/>
    <w:basedOn w:val="DefaultParagraphFont"/>
    <w:uiPriority w:val="99"/>
    <w:rsid w:val="001F68C8"/>
    <w:rPr>
      <w:color w:val="0563C1" w:themeColor="hyperlink"/>
      <w:u w:val="single"/>
    </w:rPr>
  </w:style>
  <w:style w:type="character" w:styleId="UnresolvedMention">
    <w:name w:val="Unresolved Mention"/>
    <w:basedOn w:val="DefaultParagraphFont"/>
    <w:uiPriority w:val="99"/>
    <w:semiHidden/>
    <w:unhideWhenUsed/>
    <w:rsid w:val="001F68C8"/>
    <w:rPr>
      <w:color w:val="605E5C"/>
      <w:shd w:val="clear" w:color="auto" w:fill="E1DFDD"/>
    </w:rPr>
  </w:style>
  <w:style w:type="paragraph" w:customStyle="1" w:styleId="AmDocTypeTab">
    <w:name w:val="AmDocTypeTab"/>
    <w:basedOn w:val="Normal"/>
    <w:rsid w:val="000F16AA"/>
    <w:pPr>
      <w:tabs>
        <w:tab w:val="right" w:pos="9072"/>
      </w:tabs>
    </w:pPr>
    <w:rPr>
      <w:b/>
    </w:rPr>
  </w:style>
  <w:style w:type="paragraph" w:customStyle="1" w:styleId="Normal12a">
    <w:name w:val="Normal12a"/>
    <w:basedOn w:val="Normal"/>
    <w:rsid w:val="000F16AA"/>
    <w:pPr>
      <w:spacing w:after="240"/>
    </w:pPr>
  </w:style>
  <w:style w:type="paragraph" w:customStyle="1" w:styleId="EPFooter2">
    <w:name w:val="EPFooter2"/>
    <w:basedOn w:val="Normal"/>
    <w:next w:val="Normal"/>
    <w:rsid w:val="000F16AA"/>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0F16AA"/>
    <w:pPr>
      <w:spacing w:before="240" w:after="240"/>
      <w:jc w:val="right"/>
    </w:pPr>
  </w:style>
  <w:style w:type="paragraph" w:customStyle="1" w:styleId="NormalCenter12a">
    <w:name w:val="NormalCenter12a"/>
    <w:basedOn w:val="Normal"/>
    <w:rsid w:val="000F16AA"/>
    <w:pPr>
      <w:spacing w:after="240"/>
      <w:jc w:val="center"/>
    </w:pPr>
  </w:style>
  <w:style w:type="paragraph" w:customStyle="1" w:styleId="AmDateTab">
    <w:name w:val="AmDateTab"/>
    <w:basedOn w:val="Normal"/>
    <w:rsid w:val="000F16AA"/>
    <w:pPr>
      <w:tabs>
        <w:tab w:val="right" w:pos="9072"/>
      </w:tabs>
    </w:pPr>
  </w:style>
  <w:style w:type="paragraph" w:customStyle="1" w:styleId="AmHeadingConsam">
    <w:name w:val="AmHeadingConsam"/>
    <w:basedOn w:val="Normal"/>
    <w:next w:val="NormalCenter12a"/>
    <w:rsid w:val="000F16AA"/>
    <w:pPr>
      <w:spacing w:before="720" w:after="240"/>
      <w:jc w:val="center"/>
    </w:pPr>
  </w:style>
  <w:style w:type="paragraph" w:customStyle="1" w:styleId="EPFooter">
    <w:name w:val="EPFooter"/>
    <w:basedOn w:val="Normal"/>
    <w:rsid w:val="000F16AA"/>
    <w:pPr>
      <w:tabs>
        <w:tab w:val="center" w:pos="4535"/>
        <w:tab w:val="right" w:pos="9071"/>
      </w:tabs>
      <w:spacing w:before="240" w:after="240"/>
    </w:pPr>
    <w:rPr>
      <w:color w:val="010000"/>
      <w:sz w:val="22"/>
    </w:rPr>
  </w:style>
  <w:style w:type="paragraph" w:styleId="Header">
    <w:name w:val="header"/>
    <w:basedOn w:val="Normal"/>
    <w:link w:val="HeaderChar"/>
    <w:rsid w:val="000F16AA"/>
    <w:pPr>
      <w:tabs>
        <w:tab w:val="center" w:pos="4513"/>
        <w:tab w:val="right" w:pos="9026"/>
      </w:tabs>
    </w:pPr>
  </w:style>
  <w:style w:type="character" w:customStyle="1" w:styleId="HeaderChar">
    <w:name w:val="Header Char"/>
    <w:basedOn w:val="DefaultParagraphFont"/>
    <w:link w:val="Header"/>
    <w:rsid w:val="000F16AA"/>
    <w:rPr>
      <w:sz w:val="24"/>
      <w:lang w:val="ro-RO"/>
    </w:rPr>
  </w:style>
  <w:style w:type="paragraph" w:styleId="Footer">
    <w:name w:val="footer"/>
    <w:basedOn w:val="Normal"/>
    <w:link w:val="FooterChar"/>
    <w:rsid w:val="000F16AA"/>
    <w:pPr>
      <w:tabs>
        <w:tab w:val="center" w:pos="4513"/>
        <w:tab w:val="right" w:pos="9026"/>
      </w:tabs>
    </w:pPr>
  </w:style>
  <w:style w:type="character" w:customStyle="1" w:styleId="FooterChar">
    <w:name w:val="Footer Char"/>
    <w:basedOn w:val="DefaultParagraphFont"/>
    <w:link w:val="Footer"/>
    <w:rsid w:val="000F16AA"/>
    <w:rPr>
      <w:sz w:val="24"/>
      <w:lang w:val="ro-RO"/>
    </w:rPr>
  </w:style>
  <w:style w:type="character" w:customStyle="1" w:styleId="ATHeading3Char">
    <w:name w:val="AT Heading 3 Char"/>
    <w:link w:val="ATHeading3"/>
    <w:locked/>
    <w:rsid w:val="003D23D3"/>
    <w:rPr>
      <w:b/>
      <w:sz w:val="24"/>
      <w:lang w:val="ro-RO" w:eastAsia="fr-FR"/>
    </w:rPr>
  </w:style>
  <w:style w:type="character" w:styleId="FollowedHyperlink">
    <w:name w:val="FollowedHyperlink"/>
    <w:basedOn w:val="DefaultParagraphFont"/>
    <w:rsid w:val="00991A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935</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2026-04-16T15:02:00Z</dcterms:created>
  <dcterms:modified xsi:type="dcterms:W3CDTF">2026-04-16T15:02:00Z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P10_TA(2026)0030_</vt:lpwstr>
  </property>
  <property fmtid="{D5CDD505-2E9C-101B-9397-08002B2CF9AE}" pid="4" name="&lt;Type&gt;">
    <vt:lpwstr>RR</vt:lpwstr>
  </property>
</Properties>
</file>