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51E7" w14:paraId="10F62D99" w14:textId="77777777" w:rsidTr="0010095E">
        <w:trPr>
          <w:trHeight w:hRule="exact" w:val="1418"/>
        </w:trPr>
        <w:tc>
          <w:tcPr>
            <w:tcW w:w="6804" w:type="dxa"/>
            <w:shd w:val="clear" w:color="auto" w:fill="auto"/>
            <w:vAlign w:val="center"/>
          </w:tcPr>
          <w:p w14:paraId="507D7B7D" w14:textId="77777777" w:rsidR="00751A4A" w:rsidRPr="00DA51E7" w:rsidRDefault="00363B97" w:rsidP="0010095E">
            <w:pPr>
              <w:pStyle w:val="EPName"/>
            </w:pPr>
            <w:r w:rsidRPr="00DA51E7">
              <w:t>Evropski parlament</w:t>
            </w:r>
          </w:p>
          <w:p w14:paraId="78F7454C" w14:textId="77777777" w:rsidR="00751A4A" w:rsidRPr="00DA51E7" w:rsidRDefault="005F1B17" w:rsidP="005F1B17">
            <w:pPr>
              <w:pStyle w:val="EPTerm"/>
              <w:rPr>
                <w:rStyle w:val="HideTWBExt"/>
                <w:noProof w:val="0"/>
                <w:vanish w:val="0"/>
                <w:color w:val="auto"/>
              </w:rPr>
            </w:pPr>
            <w:r w:rsidRPr="00DA51E7">
              <w:t>2024</w:t>
            </w:r>
            <w:r w:rsidR="00817416" w:rsidRPr="00DA51E7">
              <w:t>-202</w:t>
            </w:r>
            <w:r w:rsidRPr="00DA51E7">
              <w:t>9</w:t>
            </w:r>
          </w:p>
        </w:tc>
        <w:tc>
          <w:tcPr>
            <w:tcW w:w="2268" w:type="dxa"/>
            <w:shd w:val="clear" w:color="auto" w:fill="auto"/>
          </w:tcPr>
          <w:p w14:paraId="412A5B1D" w14:textId="77777777" w:rsidR="00751A4A" w:rsidRPr="00DA51E7" w:rsidRDefault="00187494" w:rsidP="0010095E">
            <w:pPr>
              <w:pStyle w:val="EPLogo"/>
            </w:pPr>
            <w:r w:rsidRPr="00DA51E7">
              <w:rPr>
                <w:noProof/>
                <w:lang w:eastAsia="ja-JP"/>
              </w:rPr>
              <w:drawing>
                <wp:inline distT="0" distB="0" distL="0" distR="0" wp14:anchorId="3F66C65E" wp14:editId="64D4EC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3FF3B0" w14:textId="77777777" w:rsidR="00D058B8" w:rsidRPr="00DA51E7" w:rsidRDefault="00D058B8" w:rsidP="004C5D52">
      <w:pPr>
        <w:pStyle w:val="LineTop"/>
      </w:pPr>
    </w:p>
    <w:p w14:paraId="63748E1D" w14:textId="77777777" w:rsidR="00680577" w:rsidRPr="00DA51E7" w:rsidRDefault="00363B97" w:rsidP="00680577">
      <w:pPr>
        <w:pStyle w:val="EPBodyTA1"/>
      </w:pPr>
      <w:r w:rsidRPr="00DA51E7">
        <w:t>SPREJETA BESEDILA</w:t>
      </w:r>
    </w:p>
    <w:p w14:paraId="097CCCF3" w14:textId="77777777" w:rsidR="00D058B8" w:rsidRPr="00DA51E7" w:rsidRDefault="00D058B8" w:rsidP="00D058B8">
      <w:pPr>
        <w:pStyle w:val="LineBottom"/>
      </w:pPr>
    </w:p>
    <w:p w14:paraId="13CF34A9" w14:textId="253CEB97" w:rsidR="00363B97" w:rsidRPr="00DA51E7" w:rsidRDefault="00363B97" w:rsidP="00363B97">
      <w:pPr>
        <w:pStyle w:val="ATHeading1"/>
      </w:pPr>
      <w:bookmarkStart w:id="0" w:name="TANumber"/>
      <w:r w:rsidRPr="00DA51E7">
        <w:t>P10_TA(202</w:t>
      </w:r>
      <w:r w:rsidR="00A32DB8" w:rsidRPr="00DA51E7">
        <w:t>6</w:t>
      </w:r>
      <w:r w:rsidRPr="00DA51E7">
        <w:t>)00</w:t>
      </w:r>
      <w:bookmarkEnd w:id="0"/>
      <w:r w:rsidR="008117D3" w:rsidRPr="00DA51E7">
        <w:t>30</w:t>
      </w:r>
    </w:p>
    <w:p w14:paraId="0F23FB95" w14:textId="77777777" w:rsidR="00363B97" w:rsidRPr="00DA51E7" w:rsidRDefault="00363B97" w:rsidP="00363B97">
      <w:pPr>
        <w:pStyle w:val="ATHeading2"/>
      </w:pPr>
      <w:bookmarkStart w:id="1" w:name="title"/>
      <w:r w:rsidRPr="00DA51E7">
        <w:t>Dvostranska zaščitna klavzula Partnerskega sporazuma med EU in Mercosurjem ter Začasnega trgovinskega sporazuma med EU in Mercosurjem za kmetijske proizvode</w:t>
      </w:r>
      <w:bookmarkEnd w:id="1"/>
    </w:p>
    <w:p w14:paraId="727741D7" w14:textId="77777777" w:rsidR="00363B97" w:rsidRPr="00DA51E7" w:rsidRDefault="00363B97" w:rsidP="00363B97">
      <w:pPr>
        <w:rPr>
          <w:i/>
          <w:vanish/>
        </w:rPr>
      </w:pPr>
      <w:r w:rsidRPr="00DA51E7">
        <w:rPr>
          <w:i/>
        </w:rPr>
        <w:fldChar w:fldCharType="begin"/>
      </w:r>
      <w:r w:rsidRPr="00DA51E7">
        <w:rPr>
          <w:i/>
        </w:rPr>
        <w:instrText xml:space="preserve"> TC"(</w:instrText>
      </w:r>
      <w:bookmarkStart w:id="2" w:name="DocNumber"/>
      <w:r w:rsidRPr="00DA51E7">
        <w:rPr>
          <w:i/>
        </w:rPr>
        <w:instrText>A10-0254/2025</w:instrText>
      </w:r>
      <w:bookmarkEnd w:id="2"/>
      <w:r w:rsidRPr="00DA51E7">
        <w:rPr>
          <w:i/>
        </w:rPr>
        <w:instrText xml:space="preserve"> - Poročevalec: Gabriel Mato)"\l3 \n&gt; \* MERGEFORMAT </w:instrText>
      </w:r>
      <w:r w:rsidRPr="00DA51E7">
        <w:rPr>
          <w:i/>
        </w:rPr>
        <w:fldChar w:fldCharType="end"/>
      </w:r>
    </w:p>
    <w:p w14:paraId="6425D694" w14:textId="77777777" w:rsidR="00363B97" w:rsidRPr="00DA51E7" w:rsidRDefault="00363B97" w:rsidP="00363B97">
      <w:pPr>
        <w:rPr>
          <w:vanish/>
        </w:rPr>
      </w:pPr>
      <w:bookmarkStart w:id="3" w:name="Commission"/>
      <w:r w:rsidRPr="00DA51E7">
        <w:rPr>
          <w:vanish/>
        </w:rPr>
        <w:t>Odbor za mednarodno trgovino</w:t>
      </w:r>
      <w:bookmarkEnd w:id="3"/>
    </w:p>
    <w:p w14:paraId="1AA5E72D" w14:textId="77777777" w:rsidR="00363B97" w:rsidRPr="00DA51E7" w:rsidRDefault="00363B97" w:rsidP="00363B97">
      <w:pPr>
        <w:rPr>
          <w:vanish/>
        </w:rPr>
      </w:pPr>
      <w:bookmarkStart w:id="4" w:name="PE"/>
      <w:r w:rsidRPr="00DA51E7">
        <w:rPr>
          <w:vanish/>
        </w:rPr>
        <w:t>PE779.615</w:t>
      </w:r>
      <w:bookmarkEnd w:id="4"/>
    </w:p>
    <w:p w14:paraId="69A2630A" w14:textId="43BFF6D4" w:rsidR="00363B97" w:rsidRPr="00DA51E7" w:rsidRDefault="00363B97" w:rsidP="00363B97">
      <w:pPr>
        <w:pStyle w:val="ATHeading3"/>
      </w:pPr>
      <w:bookmarkStart w:id="5" w:name="Sujet"/>
      <w:r w:rsidRPr="00DA51E7">
        <w:t xml:space="preserve">Zakonodajna resolucija Evropskega parlamenta z dne </w:t>
      </w:r>
      <w:r w:rsidR="00FD70B5" w:rsidRPr="00DA51E7">
        <w:t>10</w:t>
      </w:r>
      <w:r w:rsidRPr="00DA51E7">
        <w:t xml:space="preserve">. </w:t>
      </w:r>
      <w:r w:rsidR="00A32DB8" w:rsidRPr="00DA51E7">
        <w:t>februarja</w:t>
      </w:r>
      <w:r w:rsidRPr="00DA51E7">
        <w:t xml:space="preserve"> 202</w:t>
      </w:r>
      <w:r w:rsidR="00A32DB8" w:rsidRPr="00DA51E7">
        <w:t>6</w:t>
      </w:r>
      <w:r w:rsidRPr="00DA51E7">
        <w:t xml:space="preserve"> o predlogu uredbe Evropskega parlamenta in Sveta o izvajanju dvostranske zaščitne klavzule Partnerskega sporazuma med EU in Mercosurjem ter Začasnega trgovinskega sporazuma med EU in Mercosurjem za kmetijske proizvode</w:t>
      </w:r>
      <w:bookmarkEnd w:id="5"/>
      <w:r w:rsidRPr="00DA51E7">
        <w:t xml:space="preserve"> </w:t>
      </w:r>
      <w:bookmarkStart w:id="6" w:name="References"/>
      <w:r w:rsidRPr="00DA51E7">
        <w:t>(COM(2025)0639 – C10-0247/2025 – 2025/0322(COD))</w:t>
      </w:r>
      <w:bookmarkEnd w:id="6"/>
    </w:p>
    <w:p w14:paraId="26343567" w14:textId="77777777" w:rsidR="00A77269" w:rsidRPr="00DA51E7" w:rsidRDefault="00A77269" w:rsidP="00A77269">
      <w:pPr>
        <w:pStyle w:val="NormalBold"/>
      </w:pPr>
      <w:r w:rsidRPr="00DA51E7">
        <w:t>(Redni zakonodajni postopek: prva obravnava)</w:t>
      </w:r>
    </w:p>
    <w:p w14:paraId="3BF17FD5" w14:textId="77777777" w:rsidR="00A77269" w:rsidRPr="00DA51E7" w:rsidRDefault="00A77269" w:rsidP="00A77269">
      <w:pPr>
        <w:pStyle w:val="EPComma"/>
      </w:pPr>
      <w:r w:rsidRPr="00DA51E7">
        <w:rPr>
          <w:i/>
        </w:rPr>
        <w:t>Evropski parlament</w:t>
      </w:r>
      <w:r w:rsidRPr="00DA51E7">
        <w:t>,</w:t>
      </w:r>
    </w:p>
    <w:p w14:paraId="3AC1EDA7" w14:textId="77777777" w:rsidR="00A77269" w:rsidRPr="00DA51E7" w:rsidRDefault="00A77269" w:rsidP="00A77269">
      <w:pPr>
        <w:pStyle w:val="NormalHanging12a"/>
      </w:pPr>
      <w:r w:rsidRPr="00DA51E7">
        <w:t>–</w:t>
      </w:r>
      <w:r w:rsidRPr="00DA51E7">
        <w:tab/>
        <w:t>ob upoštevanju predloga Komisije Evropskemu parlamentu in Svetu (COM(2025)0639),</w:t>
      </w:r>
    </w:p>
    <w:p w14:paraId="3CC6E49A" w14:textId="77777777" w:rsidR="00A77269" w:rsidRPr="00DA51E7" w:rsidRDefault="00A77269" w:rsidP="00A77269">
      <w:pPr>
        <w:pStyle w:val="NormalHanging12a"/>
      </w:pPr>
      <w:r w:rsidRPr="00DA51E7">
        <w:t>–</w:t>
      </w:r>
      <w:r w:rsidRPr="00DA51E7">
        <w:tab/>
        <w:t>ob upoštevanju člena 294(2) in člena 207(2) Pogodbe o delovanju Evropske unije, na podlagi katerih je Komisija podala predlog Parlamentu (C10</w:t>
      </w:r>
      <w:r w:rsidRPr="00DA51E7">
        <w:noBreakHyphen/>
        <w:t>0247/2025),</w:t>
      </w:r>
    </w:p>
    <w:p w14:paraId="353CC5FB" w14:textId="77777777" w:rsidR="00A77269" w:rsidRPr="00DA51E7" w:rsidRDefault="00A77269" w:rsidP="00A77269">
      <w:pPr>
        <w:pStyle w:val="NormalHanging12a"/>
      </w:pPr>
      <w:r w:rsidRPr="00DA51E7">
        <w:t>–</w:t>
      </w:r>
      <w:r w:rsidRPr="00DA51E7">
        <w:tab/>
        <w:t>ob upoštevanju člena 294(3) Pogodbe o delovanju Evropske unije,</w:t>
      </w:r>
    </w:p>
    <w:p w14:paraId="242F0814" w14:textId="7A67BFC8" w:rsidR="00BC198F" w:rsidRPr="00DA51E7" w:rsidRDefault="00BC198F" w:rsidP="00A77269">
      <w:pPr>
        <w:pStyle w:val="NormalHanging12a"/>
      </w:pPr>
      <w:r w:rsidRPr="00DA51E7">
        <w:t>–</w:t>
      </w:r>
      <w:r w:rsidRPr="00DA51E7">
        <w:tab/>
        <w:t>ob upoštevanju začasnega dogovora, ki ga je odobril pristojni odbor na podlagi člena 75(4) Poslovnika, in zaveze predstavnika Sveta v pismu z dne 9. januarja 2026, da bo odobril stališče Evropskega parlamenta v skladu s členom 294(4) Pogodbe o delovanju Evropske unije,</w:t>
      </w:r>
    </w:p>
    <w:p w14:paraId="77840672" w14:textId="77777777" w:rsidR="00A77269" w:rsidRPr="00DA51E7" w:rsidRDefault="00A77269" w:rsidP="00A77269">
      <w:pPr>
        <w:pStyle w:val="NormalHanging12a"/>
      </w:pPr>
      <w:r w:rsidRPr="00DA51E7">
        <w:t>–</w:t>
      </w:r>
      <w:r w:rsidRPr="00DA51E7">
        <w:tab/>
        <w:t>ob upoštevanju člena 60 Poslovnika,</w:t>
      </w:r>
    </w:p>
    <w:p w14:paraId="1EF84292" w14:textId="77777777" w:rsidR="00A77269" w:rsidRPr="00DA51E7" w:rsidRDefault="00A77269" w:rsidP="00A77269">
      <w:pPr>
        <w:pStyle w:val="NormalHanging12a"/>
      </w:pPr>
      <w:r w:rsidRPr="00DA51E7">
        <w:t>–</w:t>
      </w:r>
      <w:r w:rsidRPr="00DA51E7">
        <w:tab/>
        <w:t>ob upoštevanju poročila Odbora za mednarodno trgovino (A10</w:t>
      </w:r>
      <w:r w:rsidRPr="00DA51E7">
        <w:noBreakHyphen/>
        <w:t>0254/2025),</w:t>
      </w:r>
    </w:p>
    <w:p w14:paraId="351E97F5" w14:textId="0E7FBDBF" w:rsidR="00A77269" w:rsidRPr="00DA51E7" w:rsidRDefault="00A77269" w:rsidP="00A77269">
      <w:pPr>
        <w:pStyle w:val="NormalHanging12a"/>
      </w:pPr>
      <w:r w:rsidRPr="00DA51E7">
        <w:t>1.</w:t>
      </w:r>
      <w:r w:rsidRPr="00DA51E7">
        <w:tab/>
      </w:r>
      <w:r w:rsidR="00A37544" w:rsidRPr="00DA51E7">
        <w:t>sprejme stališče v prvi obravnavi, kakor je določeno v nadaljevanju</w:t>
      </w:r>
      <w:r w:rsidR="0092372F" w:rsidRPr="00DA51E7">
        <w:rPr>
          <w:rStyle w:val="FootnoteReference"/>
        </w:rPr>
        <w:footnoteReference w:id="1"/>
      </w:r>
      <w:r w:rsidRPr="00DA51E7">
        <w:t>;</w:t>
      </w:r>
    </w:p>
    <w:p w14:paraId="6275DBE7" w14:textId="20568C8E" w:rsidR="00FD70B5" w:rsidRPr="00DA51E7" w:rsidRDefault="00FD70B5" w:rsidP="00A77269">
      <w:pPr>
        <w:pStyle w:val="NormalHanging12a"/>
      </w:pPr>
      <w:r w:rsidRPr="00DA51E7">
        <w:t>2.</w:t>
      </w:r>
      <w:r w:rsidRPr="00DA51E7">
        <w:tab/>
        <w:t xml:space="preserve">se seznanja z izjavo Komisije, priloženo tej resoluciji, ki bo objavljena v seriji C </w:t>
      </w:r>
      <w:r w:rsidRPr="00DA51E7">
        <w:rPr>
          <w:i/>
          <w:iCs/>
        </w:rPr>
        <w:lastRenderedPageBreak/>
        <w:t>Uradnega lista Evropske unije</w:t>
      </w:r>
      <w:r w:rsidRPr="00DA51E7">
        <w:t>;</w:t>
      </w:r>
    </w:p>
    <w:p w14:paraId="71B85F54" w14:textId="1FDA5D69" w:rsidR="00A77269" w:rsidRPr="00DA51E7" w:rsidRDefault="00FD70B5" w:rsidP="00A77269">
      <w:pPr>
        <w:pStyle w:val="NormalHanging12a"/>
      </w:pPr>
      <w:r w:rsidRPr="00DA51E7">
        <w:t>3</w:t>
      </w:r>
      <w:r w:rsidR="00A77269" w:rsidRPr="00DA51E7">
        <w:t>.</w:t>
      </w:r>
      <w:r w:rsidR="00A77269" w:rsidRPr="00DA51E7">
        <w:tab/>
        <w:t>poziva Komisijo, naj mu zadevo ponovno predloži, če svoj predlog nadomesti, ga bistveno spremeni ali ga namerava bistveno spremeniti;</w:t>
      </w:r>
    </w:p>
    <w:p w14:paraId="492E04BD" w14:textId="1A1DF058" w:rsidR="00A77269" w:rsidRPr="00DA51E7" w:rsidRDefault="00FD70B5" w:rsidP="00A77269">
      <w:pPr>
        <w:pStyle w:val="NormalHanging12a"/>
      </w:pPr>
      <w:r w:rsidRPr="00DA51E7">
        <w:t>4</w:t>
      </w:r>
      <w:r w:rsidR="00A77269" w:rsidRPr="00DA51E7">
        <w:t>.</w:t>
      </w:r>
      <w:r w:rsidR="00A77269" w:rsidRPr="00DA51E7">
        <w:tab/>
        <w:t>naroči svoji predsednici, naj stališče Parlamenta posreduje Svetu</w:t>
      </w:r>
      <w:r w:rsidR="00AB7CB7" w:rsidRPr="00DA51E7">
        <w:t>,</w:t>
      </w:r>
      <w:r w:rsidR="00A77269" w:rsidRPr="00DA51E7">
        <w:t xml:space="preserve"> Komisiji </w:t>
      </w:r>
      <w:r w:rsidR="00AB7CB7" w:rsidRPr="00DA51E7">
        <w:t>in</w:t>
      </w:r>
      <w:r w:rsidR="00A77269" w:rsidRPr="00DA51E7">
        <w:t xml:space="preserve"> nacionalnim parlamentom.</w:t>
      </w:r>
    </w:p>
    <w:p w14:paraId="30C37943" w14:textId="77777777" w:rsidR="00A32DB8" w:rsidRPr="00DA51E7" w:rsidRDefault="00A32DB8" w:rsidP="00A77269">
      <w:pPr>
        <w:widowControl/>
        <w:sectPr w:rsidR="00A32DB8" w:rsidRPr="00DA51E7" w:rsidSect="007B38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376C0D9" w14:textId="3F3D45F1" w:rsidR="00A32DB8" w:rsidRPr="00DA51E7" w:rsidRDefault="00A32DB8" w:rsidP="00A32DB8">
      <w:pPr>
        <w:widowControl/>
        <w:spacing w:after="240"/>
        <w:rPr>
          <w:b/>
        </w:rPr>
      </w:pPr>
      <w:r w:rsidRPr="00DA51E7">
        <w:rPr>
          <w:b/>
        </w:rPr>
        <w:lastRenderedPageBreak/>
        <w:t>P10_TC1-COD(2025)0322</w:t>
      </w:r>
    </w:p>
    <w:p w14:paraId="308FC633" w14:textId="5EF8A84D" w:rsidR="00FD70B5" w:rsidRPr="00DA51E7" w:rsidRDefault="00A32DB8" w:rsidP="00FD70B5">
      <w:pPr>
        <w:widowControl/>
        <w:spacing w:after="240"/>
        <w:rPr>
          <w:rFonts w:eastAsia="Calibri"/>
          <w:b/>
          <w:noProof/>
          <w:color w:val="000000"/>
          <w:szCs w:val="22"/>
          <w:lang w:eastAsia="en-US"/>
        </w:rPr>
      </w:pPr>
      <w:r w:rsidRPr="00DA51E7">
        <w:rPr>
          <w:b/>
        </w:rPr>
        <w:t xml:space="preserve">Stališče Evropskega parlamenta, sprejeto v prvi obravnavi </w:t>
      </w:r>
      <w:r w:rsidR="00FD70B5" w:rsidRPr="00DA51E7">
        <w:rPr>
          <w:b/>
        </w:rPr>
        <w:t>10</w:t>
      </w:r>
      <w:r w:rsidRPr="00DA51E7">
        <w:rPr>
          <w:b/>
        </w:rPr>
        <w:t xml:space="preserve">. februarja 2026 z namenom sprejetja Uredbe (EU) 2026/... Evropskega parlamenta in Sveta </w:t>
      </w:r>
      <w:r w:rsidR="007C61E0" w:rsidRPr="007C61E0">
        <w:rPr>
          <w:rFonts w:eastAsia="Calibri"/>
          <w:b/>
          <w:noProof/>
          <w:color w:val="000000"/>
          <w:szCs w:val="22"/>
          <w:lang w:eastAsia="en-US"/>
        </w:rPr>
        <w:t>o izvajanju dvostranskih zaščitnih klavzul Sporazuma o partnerstvu med EU in Mercosurjem ter Začasnega trgovinskega sporazuma med EU in Mercosurjem za kmetijske proizvode</w:t>
      </w:r>
    </w:p>
    <w:p w14:paraId="76A5F6B9" w14:textId="10AC096F" w:rsidR="007C61E0" w:rsidRPr="005F3FCA" w:rsidRDefault="007C61E0" w:rsidP="007C61E0">
      <w:pPr>
        <w:widowControl/>
        <w:spacing w:after="240"/>
        <w:rPr>
          <w:rFonts w:eastAsia="Calibri"/>
          <w:b/>
          <w:szCs w:val="22"/>
          <w:lang w:eastAsia="en-US"/>
        </w:rPr>
      </w:pPr>
      <w:r w:rsidRPr="00203CB0">
        <w:rPr>
          <w:i/>
        </w:rPr>
        <w:t xml:space="preserve">(Ker je bil </w:t>
      </w:r>
      <w:r w:rsidRPr="00EA4A6D">
        <w:rPr>
          <w:i/>
        </w:rPr>
        <w:t xml:space="preserve">dosežen sporazum med Parlamentom in Svetom, je stališče Parlamenta enako končnemu zakonodajnemu aktu, </w:t>
      </w:r>
      <w:r>
        <w:rPr>
          <w:i/>
        </w:rPr>
        <w:t>Uredbi</w:t>
      </w:r>
      <w:r w:rsidRPr="007C3669">
        <w:rPr>
          <w:i/>
        </w:rPr>
        <w:t xml:space="preserve"> (</w:t>
      </w:r>
      <w:r w:rsidRPr="007C61E0">
        <w:rPr>
          <w:i/>
        </w:rPr>
        <w:t>EU) 2026/</w:t>
      </w:r>
      <w:r w:rsidRPr="007C61E0">
        <w:rPr>
          <w:rFonts w:eastAsia="Calibri"/>
          <w:i/>
          <w:noProof/>
          <w:szCs w:val="22"/>
          <w:lang w:eastAsia="en-US"/>
        </w:rPr>
        <w:t>687</w:t>
      </w:r>
      <w:r w:rsidRPr="007C61E0">
        <w:rPr>
          <w:i/>
        </w:rPr>
        <w:t>.)</w:t>
      </w:r>
    </w:p>
    <w:p w14:paraId="5EC4F5DE" w14:textId="77777777" w:rsidR="007C61E0" w:rsidRPr="00DA51E7" w:rsidRDefault="007C61E0" w:rsidP="00FD70B5">
      <w:pPr>
        <w:widowControl/>
        <w:spacing w:before="120" w:after="120" w:line="360" w:lineRule="auto"/>
        <w:ind w:left="850" w:firstLine="1"/>
        <w:rPr>
          <w:rFonts w:eastAsia="Calibri"/>
          <w:noProof/>
          <w:color w:val="000000"/>
          <w:szCs w:val="22"/>
          <w:lang w:eastAsia="en-US"/>
        </w:rPr>
        <w:sectPr w:rsidR="007C61E0" w:rsidRPr="00DA51E7" w:rsidSect="00A32D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720" w:footer="397" w:gutter="0"/>
          <w:cols w:space="720"/>
          <w:noEndnote/>
          <w:docGrid w:linePitch="326"/>
        </w:sectPr>
      </w:pPr>
    </w:p>
    <w:p w14:paraId="3C6F4DF6" w14:textId="0B367F36" w:rsidR="00FD70B5" w:rsidRPr="00DA51E7" w:rsidRDefault="00FD70B5" w:rsidP="00FD70B5">
      <w:pPr>
        <w:widowControl/>
        <w:spacing w:before="120" w:after="120" w:line="360" w:lineRule="auto"/>
        <w:ind w:firstLine="1"/>
        <w:jc w:val="right"/>
        <w:rPr>
          <w:rFonts w:eastAsia="Calibri"/>
          <w:noProof/>
          <w:color w:val="000000"/>
          <w:szCs w:val="22"/>
          <w:lang w:eastAsia="en-US"/>
        </w:rPr>
      </w:pPr>
      <w:r w:rsidRPr="00DA51E7">
        <w:rPr>
          <w:rFonts w:eastAsia="Calibri"/>
          <w:noProof/>
          <w:color w:val="000000"/>
          <w:szCs w:val="22"/>
          <w:lang w:eastAsia="en-US"/>
        </w:rPr>
        <w:t>PRILOGA K ZAKONODAJNI RESOLUCIJI</w:t>
      </w:r>
    </w:p>
    <w:p w14:paraId="17807437" w14:textId="6093A6A5" w:rsidR="00FD70B5" w:rsidRPr="00DA51E7" w:rsidRDefault="00FD70B5" w:rsidP="007C61E0">
      <w:pPr>
        <w:widowControl/>
        <w:spacing w:before="120" w:after="120" w:line="360" w:lineRule="auto"/>
        <w:rPr>
          <w:rFonts w:eastAsia="Calibri"/>
          <w:b/>
          <w:bCs/>
          <w:szCs w:val="22"/>
          <w:lang w:eastAsia="sl-SI" w:bidi="sl-SI"/>
        </w:rPr>
      </w:pPr>
      <w:bookmarkStart w:id="7" w:name="_Hlk221115656"/>
      <w:r w:rsidRPr="00DA51E7">
        <w:rPr>
          <w:rFonts w:eastAsia="Calibri"/>
          <w:b/>
          <w:szCs w:val="22"/>
          <w:lang w:eastAsia="sl-SI" w:bidi="sl-SI"/>
        </w:rPr>
        <w:t>Izjava Komisije glede proizvodnih standardov, ki se uporabljajo za uvožene agroživilske proizvode, ter glede sanitarnega in fitosanitarnega nadzora ob sprejetju Uredbe (EU)</w:t>
      </w:r>
      <w:r w:rsidR="007C61E0">
        <w:rPr>
          <w:rFonts w:eastAsia="Calibri"/>
          <w:b/>
          <w:szCs w:val="22"/>
          <w:lang w:eastAsia="sl-SI" w:bidi="sl-SI"/>
        </w:rPr>
        <w:t> </w:t>
      </w:r>
      <w:r w:rsidRPr="007C61E0">
        <w:rPr>
          <w:rFonts w:eastAsia="Calibri"/>
          <w:b/>
          <w:szCs w:val="22"/>
          <w:lang w:eastAsia="sl-SI" w:bidi="sl-SI"/>
        </w:rPr>
        <w:t>2026/</w:t>
      </w:r>
      <w:r w:rsidR="007C61E0" w:rsidRPr="007C61E0">
        <w:rPr>
          <w:rFonts w:eastAsia="Calibri"/>
          <w:b/>
          <w:szCs w:val="22"/>
          <w:lang w:eastAsia="sl-SI" w:bidi="sl-SI"/>
        </w:rPr>
        <w:t>687</w:t>
      </w:r>
      <w:r w:rsidR="007C61E0" w:rsidRPr="007C61E0">
        <w:rPr>
          <w:rStyle w:val="FootnoteReference"/>
          <w:rFonts w:eastAsia="Aptos"/>
          <w:kern w:val="2"/>
          <w:szCs w:val="22"/>
          <w:lang w:eastAsia="en-US"/>
          <w14:ligatures w14:val="standardContextual"/>
        </w:rPr>
        <w:footnoteReference w:id="2"/>
      </w:r>
    </w:p>
    <w:p w14:paraId="35F72B7C" w14:textId="77777777" w:rsidR="00FD70B5" w:rsidRPr="00DA51E7" w:rsidRDefault="00FD70B5" w:rsidP="00FD70B5">
      <w:pPr>
        <w:widowControl/>
        <w:spacing w:before="240" w:after="120" w:line="360" w:lineRule="auto"/>
        <w:rPr>
          <w:rFonts w:eastAsia="Calibri"/>
          <w:szCs w:val="22"/>
          <w:lang w:eastAsia="sl-SI" w:bidi="sl-SI"/>
        </w:rPr>
      </w:pPr>
      <w:r w:rsidRPr="00DA51E7">
        <w:rPr>
          <w:rFonts w:eastAsia="Calibri"/>
          <w:szCs w:val="22"/>
          <w:lang w:eastAsia="sl-SI" w:bidi="sl-SI"/>
        </w:rPr>
        <w:t>Komisija je v viziji za kmetijstvo in prehrano napovedala, da si bo prizadevala za večjo usklajenost proizvodnih standardov, ki se uporabljajo za uvožene proizvode, zlasti glede dobrobiti živali in pesticidov.</w:t>
      </w:r>
    </w:p>
    <w:p w14:paraId="664C1527" w14:textId="77777777" w:rsidR="00FD70B5" w:rsidRPr="00DA51E7" w:rsidRDefault="00FD70B5" w:rsidP="00FD70B5">
      <w:pPr>
        <w:widowControl/>
        <w:spacing w:before="120" w:after="120" w:line="360" w:lineRule="auto"/>
        <w:rPr>
          <w:rFonts w:eastAsia="Calibri"/>
          <w:szCs w:val="22"/>
          <w:lang w:eastAsia="sl-SI" w:bidi="sl-SI"/>
        </w:rPr>
      </w:pPr>
      <w:r w:rsidRPr="00DA51E7">
        <w:rPr>
          <w:rFonts w:eastAsia="Calibri"/>
          <w:szCs w:val="22"/>
          <w:lang w:eastAsia="sl-SI" w:bidi="sl-SI"/>
        </w:rPr>
        <w:t>Kar zadeva pesticide, je v vizijo vključeno načelo, da se ne dovoli, da bi se najnevarnejši pesticidi, ki so v EU iz zdravstvenih in okoljskih razlogov prepovedani, vračali v EU prek uvoženih proizvodov, s čimer bi se preprečil slabši konkurenčni položaj kmetov v EU in agroživilskega sektorja ter upoštevala pričakovanja potrošnikov. Komisija je na podlagi tega 25. novembra 2025 začela študijo za pripravo ocene učinka, v kateri bodo obravnavani učinki tega pristopa. Ob upoštevanju dobljenih rezultatov in, če bo ustrezno, bo predlagala spremembe veljavnega pravnega okvira. Predhodni študiji, ki naj bi bila končana do poletja 2026, bodo sledili naslednji koraki ocene učinka. Čeprav obstoječa zakonodaja EU že varuje potrošnike in potrošnice ter zagotavlja, da vsa živila, dana na trg, izpolnjujejo naše visoke zdravstvene in varnostne standarde, je Komisija odločena, da si bo še naprej prizadevala za tesnejše usklajevanje proizvodnih standardov, ki se uporabljajo za uvožene proizvode, da se zagotovijo enaki konkurenčni pogoji za naše kmete in proizvajalce ter ohrani varstvo potrošnikov.</w:t>
      </w:r>
    </w:p>
    <w:p w14:paraId="0FD46298" w14:textId="77777777" w:rsidR="00FD70B5" w:rsidRPr="00DA51E7" w:rsidRDefault="00FD70B5" w:rsidP="00FD70B5">
      <w:pPr>
        <w:widowControl/>
        <w:spacing w:before="120" w:after="120" w:line="360" w:lineRule="auto"/>
        <w:rPr>
          <w:rFonts w:eastAsia="Calibri"/>
          <w:szCs w:val="22"/>
          <w:lang w:eastAsia="sl-SI" w:bidi="sl-SI"/>
        </w:rPr>
      </w:pPr>
      <w:r w:rsidRPr="00DA51E7">
        <w:rPr>
          <w:rFonts w:eastAsia="Calibri"/>
          <w:szCs w:val="22"/>
          <w:lang w:eastAsia="sl-SI" w:bidi="sl-SI"/>
        </w:rPr>
        <w:t>Medtem je Komisija v okviru predlaganega svežnja za poenostavitev področja hrane in varnosti z dne 16. decembra 2025 predlagala spremembo veljavne zakonodaje, in sicer možnost, da se najvišje mejne vrednosti ostankov za snovi, ki niso odobrene v Uniji in imajo nekatere posebej nevarne lastnosti, določijo na nič, če se to zdi primerno na podlagi rezultatov ocene učinka.</w:t>
      </w:r>
    </w:p>
    <w:p w14:paraId="61D72A7F" w14:textId="77777777" w:rsidR="00FD70B5" w:rsidRPr="00DA51E7" w:rsidRDefault="00FD70B5" w:rsidP="00FD70B5">
      <w:pPr>
        <w:widowControl/>
        <w:spacing w:before="120" w:after="120" w:line="360" w:lineRule="auto"/>
        <w:rPr>
          <w:rFonts w:eastAsia="Calibri"/>
          <w:szCs w:val="22"/>
          <w:lang w:eastAsia="sl-SI" w:bidi="sl-SI"/>
        </w:rPr>
      </w:pPr>
      <w:r w:rsidRPr="00DA51E7">
        <w:rPr>
          <w:rFonts w:eastAsia="Calibri"/>
          <w:szCs w:val="22"/>
          <w:lang w:eastAsia="sl-SI" w:bidi="sl-SI"/>
        </w:rPr>
        <w:t>Kar zadeva dobrobit živali, je Komisija 17. decembra 2025 zaključila javno posvetovanje v zvezi z revizijo zakonodaje EU o dobrobiti rejnih živali za nekatere živali, vključno s tem, ali in v kolikšni meri bi se morali za uvoz živali in živalskih proizvodov uporabljati enakovredni standardi dobrobiti živali. Komisija bo na podlagi ocene učinka pripravila ustrezne predloge.</w:t>
      </w:r>
    </w:p>
    <w:p w14:paraId="16863CB4" w14:textId="77777777" w:rsidR="00FD70B5" w:rsidRPr="00DA51E7" w:rsidRDefault="00FD70B5" w:rsidP="00FD70B5">
      <w:pPr>
        <w:widowControl/>
        <w:spacing w:before="120" w:after="120" w:line="360" w:lineRule="auto"/>
        <w:rPr>
          <w:rFonts w:eastAsia="Calibri"/>
          <w:szCs w:val="24"/>
          <w:lang w:val="sk-SK" w:eastAsia="en-US"/>
        </w:rPr>
      </w:pPr>
      <w:r w:rsidRPr="00DA51E7">
        <w:rPr>
          <w:rFonts w:eastAsia="Calibri"/>
          <w:szCs w:val="22"/>
          <w:lang w:eastAsia="sl-SI" w:bidi="sl-SI"/>
        </w:rPr>
        <w:t>Kar zadeva nadzor uvoza, je Komisija 9. decembra 2025 napovedala, da namerava okrepiti in izboljšati revizije, ki se izvajajo neposredno na terenu v vseh tretjih državah, vključno z revizijami uvoza hrane iz držav Mercosurja. Komisija bo z začetkom 1. januarja 2026 v naslednjih dveh letih za 50 % povečala obseg svojih revizij izvoza v državah nečlanicah EU. Poleg tega bo okrepila spremljanje neskladnega blaga in držav ter temu ustrezno prilagodila pogostost preverjanj. Prav tako bo okrepila raven nadzora v EU, in sicer na glavnih krajih vnosa na carinsko območje. V zvezi s tem bo Komisija povečala število preverjanj v državah članicah, da bi zagotovila, da je nadzor na mejah v celoti skladen s standardi EU, in države članice podprla pri ustreznem izvajanju teh preverjanj. Ustanovila bo posebno projektno skupino EU za povečanje učinkovitosti nadzora uvoza, ki se bo osredotočala predvsem na ostanke pesticidov, varnost hrane in krme ter dobrobit živali in bo proučila uvedbo usklajenih ukrepov na ravni EU za spremljanje uvoženih proizvodov.</w:t>
      </w:r>
      <w:bookmarkEnd w:id="7"/>
    </w:p>
    <w:sectPr w:rsidR="00FD70B5" w:rsidRPr="00DA51E7" w:rsidSect="00A32DB8">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32462" w14:textId="77777777" w:rsidR="00363B97" w:rsidRPr="007B3871" w:rsidRDefault="00363B97">
      <w:r w:rsidRPr="007B3871">
        <w:separator/>
      </w:r>
    </w:p>
  </w:endnote>
  <w:endnote w:type="continuationSeparator" w:id="0">
    <w:p w14:paraId="02A9AEB7" w14:textId="77777777" w:rsidR="00363B97" w:rsidRPr="007B3871" w:rsidRDefault="00363B97">
      <w:r w:rsidRPr="007B38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831D" w14:textId="77777777" w:rsidR="00A32DB8" w:rsidRDefault="00A32DB8">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C89C" w14:textId="77777777" w:rsidR="00A32DB8" w:rsidRPr="00DA51E7" w:rsidRDefault="00A32DB8" w:rsidP="00DA51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91FA0" w14:textId="77777777" w:rsidR="00A32DB8" w:rsidRDefault="00A32D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D1DFB" w14:textId="77777777" w:rsidR="00363B97" w:rsidRPr="007B3871" w:rsidRDefault="00363B97">
      <w:r w:rsidRPr="007B3871">
        <w:separator/>
      </w:r>
    </w:p>
  </w:footnote>
  <w:footnote w:type="continuationSeparator" w:id="0">
    <w:p w14:paraId="275410F1" w14:textId="77777777" w:rsidR="00363B97" w:rsidRPr="007B3871" w:rsidRDefault="00363B97">
      <w:r w:rsidRPr="007B3871">
        <w:continuationSeparator/>
      </w:r>
    </w:p>
  </w:footnote>
  <w:footnote w:id="1">
    <w:p w14:paraId="559EFF29" w14:textId="7678C041" w:rsidR="0092372F" w:rsidRPr="00DA51E7" w:rsidRDefault="0092372F" w:rsidP="0092372F">
      <w:pPr>
        <w:pStyle w:val="FootnoteText"/>
        <w:ind w:left="567" w:hanging="567"/>
        <w:rPr>
          <w:sz w:val="24"/>
          <w:szCs w:val="24"/>
          <w:lang w:val="sl-SI"/>
        </w:rPr>
      </w:pPr>
      <w:r w:rsidRPr="00DA51E7">
        <w:rPr>
          <w:rStyle w:val="FootnoteReference"/>
          <w:sz w:val="24"/>
          <w:szCs w:val="24"/>
        </w:rPr>
        <w:footnoteRef/>
      </w:r>
      <w:r w:rsidRPr="00DA51E7">
        <w:rPr>
          <w:sz w:val="24"/>
          <w:szCs w:val="24"/>
        </w:rPr>
        <w:t xml:space="preserve"> </w:t>
      </w:r>
      <w:r w:rsidRPr="00DA51E7">
        <w:rPr>
          <w:sz w:val="24"/>
          <w:szCs w:val="24"/>
          <w:lang w:val="sl-SI"/>
        </w:rPr>
        <w:tab/>
        <w:t>To stališče nadomesti spremembe, sprejete 16. decembra 2025 (Sprejeta besedila, P10_TA(2025)0315).</w:t>
      </w:r>
    </w:p>
  </w:footnote>
  <w:footnote w:id="2">
    <w:p w14:paraId="2F694A4E" w14:textId="1DE04CA7" w:rsidR="007C61E0" w:rsidRPr="007C61E0" w:rsidRDefault="007C61E0" w:rsidP="007C61E0">
      <w:pPr>
        <w:pStyle w:val="FootnoteText"/>
        <w:ind w:left="851" w:hanging="851"/>
        <w:rPr>
          <w:sz w:val="24"/>
          <w:szCs w:val="24"/>
          <w:lang w:val="sk-SK"/>
        </w:rPr>
      </w:pPr>
      <w:r w:rsidRPr="007C61E0">
        <w:rPr>
          <w:rStyle w:val="FootnoteReference"/>
          <w:sz w:val="24"/>
          <w:szCs w:val="24"/>
        </w:rPr>
        <w:footnoteRef/>
      </w:r>
      <w:r w:rsidRPr="007C61E0">
        <w:rPr>
          <w:sz w:val="24"/>
          <w:szCs w:val="24"/>
          <w:lang w:val="fi-FI"/>
        </w:rPr>
        <w:t xml:space="preserve"> </w:t>
      </w:r>
      <w:r w:rsidRPr="007C61E0">
        <w:rPr>
          <w:sz w:val="24"/>
          <w:szCs w:val="24"/>
          <w:lang w:val="sk-SK"/>
        </w:rPr>
        <w:tab/>
      </w:r>
      <w:r>
        <w:rPr>
          <w:sz w:val="24"/>
          <w:szCs w:val="24"/>
          <w:lang w:val="sk-SK"/>
        </w:rPr>
        <w:t>UL</w:t>
      </w:r>
      <w:r w:rsidRPr="007C61E0">
        <w:rPr>
          <w:sz w:val="24"/>
          <w:szCs w:val="24"/>
          <w:lang w:val="sk-SK"/>
        </w:rPr>
        <w:t xml:space="preserve"> L, 2026/687, 19.3.2026, ELI: </w:t>
      </w:r>
      <w:hyperlink r:id="rId1" w:history="1">
        <w:r w:rsidRPr="007C61E0">
          <w:rPr>
            <w:rStyle w:val="Hyperlink"/>
            <w:sz w:val="24"/>
            <w:szCs w:val="24"/>
            <w:lang w:val="sk-SK"/>
          </w:rPr>
          <w:t>http://data.europa.eu/eli/reg/2026/687/oj</w:t>
        </w:r>
      </w:hyperlink>
      <w:r w:rsidRPr="007C61E0">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B9E66" w14:textId="77777777" w:rsidR="00A32DB8" w:rsidRDefault="00A32D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3A8EC" w14:textId="77777777" w:rsidR="00A32DB8" w:rsidRDefault="00A32D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3509" w14:textId="77777777" w:rsidR="00A32DB8" w:rsidRDefault="00A32D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D311031"/>
    <w:multiLevelType w:val="hybridMultilevel"/>
    <w:tmpl w:val="0F94051E"/>
    <w:lvl w:ilvl="0" w:tplc="480667F8">
      <w:start w:val="3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8757249">
    <w:abstractNumId w:val="9"/>
  </w:num>
  <w:num w:numId="2" w16cid:durableId="1116370396">
    <w:abstractNumId w:val="9"/>
  </w:num>
  <w:num w:numId="3" w16cid:durableId="309099937">
    <w:abstractNumId w:val="7"/>
  </w:num>
  <w:num w:numId="4" w16cid:durableId="770975500">
    <w:abstractNumId w:val="7"/>
  </w:num>
  <w:num w:numId="5" w16cid:durableId="1895651287">
    <w:abstractNumId w:val="6"/>
  </w:num>
  <w:num w:numId="6" w16cid:durableId="869728482">
    <w:abstractNumId w:val="6"/>
  </w:num>
  <w:num w:numId="7" w16cid:durableId="233122467">
    <w:abstractNumId w:val="5"/>
  </w:num>
  <w:num w:numId="8" w16cid:durableId="19208931">
    <w:abstractNumId w:val="5"/>
  </w:num>
  <w:num w:numId="9" w16cid:durableId="958417223">
    <w:abstractNumId w:val="4"/>
  </w:num>
  <w:num w:numId="10" w16cid:durableId="817184026">
    <w:abstractNumId w:val="4"/>
  </w:num>
  <w:num w:numId="11" w16cid:durableId="1528370450">
    <w:abstractNumId w:val="8"/>
  </w:num>
  <w:num w:numId="12" w16cid:durableId="895895970">
    <w:abstractNumId w:val="8"/>
  </w:num>
  <w:num w:numId="13" w16cid:durableId="525339280">
    <w:abstractNumId w:val="3"/>
  </w:num>
  <w:num w:numId="14" w16cid:durableId="1835140945">
    <w:abstractNumId w:val="3"/>
  </w:num>
  <w:num w:numId="15" w16cid:durableId="532882665">
    <w:abstractNumId w:val="2"/>
  </w:num>
  <w:num w:numId="16" w16cid:durableId="898713715">
    <w:abstractNumId w:val="2"/>
  </w:num>
  <w:num w:numId="17" w16cid:durableId="1259479915">
    <w:abstractNumId w:val="1"/>
  </w:num>
  <w:num w:numId="18" w16cid:durableId="1440638919">
    <w:abstractNumId w:val="1"/>
  </w:num>
  <w:num w:numId="19" w16cid:durableId="562102913">
    <w:abstractNumId w:val="0"/>
  </w:num>
  <w:num w:numId="20" w16cid:durableId="392974109">
    <w:abstractNumId w:val="0"/>
  </w:num>
  <w:num w:numId="21" w16cid:durableId="454953082">
    <w:abstractNumId w:val="9"/>
  </w:num>
  <w:num w:numId="22" w16cid:durableId="1299843953">
    <w:abstractNumId w:val="7"/>
  </w:num>
  <w:num w:numId="23" w16cid:durableId="1779981336">
    <w:abstractNumId w:val="6"/>
  </w:num>
  <w:num w:numId="24" w16cid:durableId="1336106175">
    <w:abstractNumId w:val="5"/>
  </w:num>
  <w:num w:numId="25" w16cid:durableId="473642683">
    <w:abstractNumId w:val="4"/>
  </w:num>
  <w:num w:numId="26" w16cid:durableId="1355956183">
    <w:abstractNumId w:val="8"/>
  </w:num>
  <w:num w:numId="27" w16cid:durableId="77485032">
    <w:abstractNumId w:val="3"/>
  </w:num>
  <w:num w:numId="28" w16cid:durableId="1313488946">
    <w:abstractNumId w:val="2"/>
  </w:num>
  <w:num w:numId="29" w16cid:durableId="1195728485">
    <w:abstractNumId w:val="1"/>
  </w:num>
  <w:num w:numId="30" w16cid:durableId="235632423">
    <w:abstractNumId w:val="0"/>
  </w:num>
  <w:num w:numId="31" w16cid:durableId="253588659">
    <w:abstractNumId w:val="9"/>
  </w:num>
  <w:num w:numId="32" w16cid:durableId="1365331470">
    <w:abstractNumId w:val="7"/>
  </w:num>
  <w:num w:numId="33" w16cid:durableId="1265727476">
    <w:abstractNumId w:val="6"/>
  </w:num>
  <w:num w:numId="34" w16cid:durableId="654988949">
    <w:abstractNumId w:val="5"/>
  </w:num>
  <w:num w:numId="35" w16cid:durableId="1614171214">
    <w:abstractNumId w:val="4"/>
  </w:num>
  <w:num w:numId="36" w16cid:durableId="464543900">
    <w:abstractNumId w:val="8"/>
  </w:num>
  <w:num w:numId="37" w16cid:durableId="1799755755">
    <w:abstractNumId w:val="3"/>
  </w:num>
  <w:num w:numId="38" w16cid:durableId="1607687785">
    <w:abstractNumId w:val="2"/>
  </w:num>
  <w:num w:numId="39" w16cid:durableId="69039280">
    <w:abstractNumId w:val="1"/>
  </w:num>
  <w:num w:numId="40" w16cid:durableId="1959138057">
    <w:abstractNumId w:val="0"/>
  </w:num>
  <w:num w:numId="41" w16cid:durableId="1866281974">
    <w:abstractNumId w:val="10"/>
  </w:num>
  <w:num w:numId="42" w16cid:durableId="1408764661">
    <w:abstractNumId w:val="10"/>
  </w:num>
  <w:num w:numId="43" w16cid:durableId="1184245559">
    <w:abstractNumId w:val="10"/>
  </w:num>
  <w:num w:numId="44" w16cid:durableId="34700612">
    <w:abstractNumId w:val="12"/>
  </w:num>
  <w:num w:numId="45" w16cid:durableId="10326093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SL"/>
    <w:docVar w:name="dvnumam" w:val="24"/>
    <w:docVar w:name="dvpe" w:val="779.615"/>
    <w:docVar w:name="dvrapporteur" w:val="Poročevalec: "/>
    <w:docVar w:name="dvstar" w:val="***I"/>
    <w:docVar w:name="dvtitre" w:val="Zakonodajna resolucija Evropskega parlamenta z dne xx. decembra 2025 o predlogu uredbe Evropskega parlamenta in Sveta o izvajanju dvostranske zaščitne klavzule Partnerskega sporazuma med EU in Mercosurjem ter Začasnega trgovinskega sporazuma med EU in Mercosurjem za kmetijske proizvode(COM(2025)0639 – C10-0247/2025 – 2025/0322(COD))"/>
  </w:docVars>
  <w:rsids>
    <w:rsidRoot w:val="00363B97"/>
    <w:rsid w:val="00002272"/>
    <w:rsid w:val="0006245B"/>
    <w:rsid w:val="00064002"/>
    <w:rsid w:val="000677B9"/>
    <w:rsid w:val="000831BA"/>
    <w:rsid w:val="000A42CC"/>
    <w:rsid w:val="000E7DD9"/>
    <w:rsid w:val="0010095E"/>
    <w:rsid w:val="00125B37"/>
    <w:rsid w:val="00187494"/>
    <w:rsid w:val="001F32AE"/>
    <w:rsid w:val="00212167"/>
    <w:rsid w:val="00225F09"/>
    <w:rsid w:val="002318D0"/>
    <w:rsid w:val="002767FF"/>
    <w:rsid w:val="002B18FE"/>
    <w:rsid w:val="002B5493"/>
    <w:rsid w:val="003125B6"/>
    <w:rsid w:val="003377BB"/>
    <w:rsid w:val="00343214"/>
    <w:rsid w:val="00361C00"/>
    <w:rsid w:val="00363B9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3871"/>
    <w:rsid w:val="007C61E0"/>
    <w:rsid w:val="007D1690"/>
    <w:rsid w:val="007E22AD"/>
    <w:rsid w:val="008117D3"/>
    <w:rsid w:val="00817416"/>
    <w:rsid w:val="00842779"/>
    <w:rsid w:val="00865F67"/>
    <w:rsid w:val="00881A7B"/>
    <w:rsid w:val="008840E5"/>
    <w:rsid w:val="00887B3E"/>
    <w:rsid w:val="008929DE"/>
    <w:rsid w:val="008C2AC6"/>
    <w:rsid w:val="0092372F"/>
    <w:rsid w:val="00930C23"/>
    <w:rsid w:val="0093193B"/>
    <w:rsid w:val="009509D8"/>
    <w:rsid w:val="00950B64"/>
    <w:rsid w:val="00981893"/>
    <w:rsid w:val="00A1687D"/>
    <w:rsid w:val="00A32DB8"/>
    <w:rsid w:val="00A37544"/>
    <w:rsid w:val="00A43E52"/>
    <w:rsid w:val="00A4678D"/>
    <w:rsid w:val="00A77269"/>
    <w:rsid w:val="00A778C7"/>
    <w:rsid w:val="00AB441E"/>
    <w:rsid w:val="00AB6293"/>
    <w:rsid w:val="00AB7CB7"/>
    <w:rsid w:val="00AE0928"/>
    <w:rsid w:val="00AF3B82"/>
    <w:rsid w:val="00B12D1F"/>
    <w:rsid w:val="00B12E95"/>
    <w:rsid w:val="00B22876"/>
    <w:rsid w:val="00B558F0"/>
    <w:rsid w:val="00BC198F"/>
    <w:rsid w:val="00BD48FE"/>
    <w:rsid w:val="00BD7BD8"/>
    <w:rsid w:val="00BE5AB5"/>
    <w:rsid w:val="00BE6ADC"/>
    <w:rsid w:val="00BF7802"/>
    <w:rsid w:val="00C05BFE"/>
    <w:rsid w:val="00C23CD4"/>
    <w:rsid w:val="00C61C0C"/>
    <w:rsid w:val="00C941CB"/>
    <w:rsid w:val="00CC2357"/>
    <w:rsid w:val="00CF071A"/>
    <w:rsid w:val="00D058B8"/>
    <w:rsid w:val="00D56C11"/>
    <w:rsid w:val="00D72080"/>
    <w:rsid w:val="00D834A0"/>
    <w:rsid w:val="00D872DF"/>
    <w:rsid w:val="00D91E21"/>
    <w:rsid w:val="00DA0A92"/>
    <w:rsid w:val="00DA51E7"/>
    <w:rsid w:val="00DA7FCD"/>
    <w:rsid w:val="00E365E1"/>
    <w:rsid w:val="00E820A4"/>
    <w:rsid w:val="00E952DD"/>
    <w:rsid w:val="00EB006A"/>
    <w:rsid w:val="00EB4772"/>
    <w:rsid w:val="00ED169E"/>
    <w:rsid w:val="00ED4235"/>
    <w:rsid w:val="00F04346"/>
    <w:rsid w:val="00F075DC"/>
    <w:rsid w:val="00F149E9"/>
    <w:rsid w:val="00F5134D"/>
    <w:rsid w:val="00F74202"/>
    <w:rsid w:val="00F87713"/>
    <w:rsid w:val="00FB4360"/>
    <w:rsid w:val="00FD0C70"/>
    <w:rsid w:val="00FD70B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BC3E1F"/>
  <w15:chartTrackingRefBased/>
  <w15:docId w15:val="{FB0F74DD-428F-47F5-8403-977C8659A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A77269"/>
    <w:pPr>
      <w:spacing w:after="120"/>
    </w:pPr>
  </w:style>
  <w:style w:type="paragraph" w:customStyle="1" w:styleId="NormalBold">
    <w:name w:val="NormalBold"/>
    <w:basedOn w:val="Normal"/>
    <w:link w:val="NormalBoldChar"/>
    <w:rsid w:val="00A77269"/>
    <w:rPr>
      <w:b/>
    </w:rPr>
  </w:style>
  <w:style w:type="paragraph" w:customStyle="1" w:styleId="NormalHanging12a">
    <w:name w:val="NormalHanging12a"/>
    <w:basedOn w:val="Normal"/>
    <w:rsid w:val="00A77269"/>
    <w:pPr>
      <w:spacing w:after="240"/>
      <w:ind w:left="567" w:hanging="567"/>
    </w:pPr>
  </w:style>
  <w:style w:type="paragraph" w:customStyle="1" w:styleId="AmColumnHeading">
    <w:name w:val="AmColumnHeading"/>
    <w:basedOn w:val="Normal"/>
    <w:rsid w:val="00A77269"/>
    <w:pPr>
      <w:spacing w:after="240"/>
      <w:jc w:val="center"/>
    </w:pPr>
    <w:rPr>
      <w:i/>
    </w:rPr>
  </w:style>
  <w:style w:type="paragraph" w:customStyle="1" w:styleId="AmNumberTabs">
    <w:name w:val="AmNumberTabs"/>
    <w:basedOn w:val="Normal"/>
    <w:rsid w:val="00A772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77269"/>
    <w:pPr>
      <w:spacing w:before="240"/>
    </w:pPr>
    <w:rPr>
      <w:b/>
    </w:rPr>
  </w:style>
  <w:style w:type="paragraph" w:customStyle="1" w:styleId="EPComma">
    <w:name w:val="EPComma"/>
    <w:basedOn w:val="Normal"/>
    <w:rsid w:val="00A77269"/>
    <w:pPr>
      <w:spacing w:before="480" w:after="240"/>
    </w:pPr>
  </w:style>
  <w:style w:type="character" w:customStyle="1" w:styleId="NormalBoldChar">
    <w:name w:val="NormalBold Char"/>
    <w:basedOn w:val="DefaultParagraphFont"/>
    <w:link w:val="NormalBold"/>
    <w:locked/>
    <w:rsid w:val="00A77269"/>
    <w:rPr>
      <w:b/>
      <w:sz w:val="24"/>
      <w:lang w:val="sl-SI"/>
    </w:rPr>
  </w:style>
  <w:style w:type="paragraph" w:styleId="Revision">
    <w:name w:val="Revision"/>
    <w:hidden/>
    <w:uiPriority w:val="99"/>
    <w:semiHidden/>
    <w:rsid w:val="003377BB"/>
    <w:rPr>
      <w:sz w:val="24"/>
      <w:lang w:val="sl-SI"/>
    </w:rPr>
  </w:style>
  <w:style w:type="character" w:styleId="Hyperlink">
    <w:name w:val="Hyperlink"/>
    <w:basedOn w:val="DefaultParagraphFont"/>
    <w:uiPriority w:val="99"/>
    <w:rsid w:val="003377BB"/>
    <w:rPr>
      <w:color w:val="0563C1" w:themeColor="hyperlink"/>
      <w:u w:val="single"/>
    </w:rPr>
  </w:style>
  <w:style w:type="character" w:styleId="UnresolvedMention">
    <w:name w:val="Unresolved Mention"/>
    <w:basedOn w:val="DefaultParagraphFont"/>
    <w:uiPriority w:val="99"/>
    <w:semiHidden/>
    <w:unhideWhenUsed/>
    <w:rsid w:val="003377BB"/>
    <w:rPr>
      <w:color w:val="605E5C"/>
      <w:shd w:val="clear" w:color="auto" w:fill="E1DFDD"/>
    </w:rPr>
  </w:style>
  <w:style w:type="paragraph" w:styleId="Footer">
    <w:name w:val="footer"/>
    <w:basedOn w:val="Normal"/>
    <w:link w:val="FooterChar"/>
    <w:rsid w:val="00A32DB8"/>
    <w:pPr>
      <w:tabs>
        <w:tab w:val="center" w:pos="4513"/>
        <w:tab w:val="right" w:pos="9026"/>
      </w:tabs>
    </w:pPr>
  </w:style>
  <w:style w:type="character" w:customStyle="1" w:styleId="FooterChar">
    <w:name w:val="Footer Char"/>
    <w:basedOn w:val="DefaultParagraphFont"/>
    <w:link w:val="Footer"/>
    <w:rsid w:val="00A32DB8"/>
    <w:rPr>
      <w:sz w:val="24"/>
      <w:lang w:val="sl-SI"/>
    </w:rPr>
  </w:style>
  <w:style w:type="paragraph" w:styleId="Header">
    <w:name w:val="header"/>
    <w:basedOn w:val="Normal"/>
    <w:link w:val="HeaderChar"/>
    <w:rsid w:val="00A32DB8"/>
    <w:pPr>
      <w:tabs>
        <w:tab w:val="center" w:pos="4513"/>
        <w:tab w:val="right" w:pos="9026"/>
      </w:tabs>
    </w:pPr>
  </w:style>
  <w:style w:type="character" w:customStyle="1" w:styleId="HeaderChar">
    <w:name w:val="Header Char"/>
    <w:basedOn w:val="DefaultParagraphFont"/>
    <w:link w:val="Header"/>
    <w:rsid w:val="00A32DB8"/>
    <w:rPr>
      <w:sz w:val="24"/>
      <w:lang w:val="sl-SI"/>
    </w:rPr>
  </w:style>
  <w:style w:type="character" w:styleId="CommentReference">
    <w:name w:val="annotation reference"/>
    <w:basedOn w:val="DefaultParagraphFont"/>
    <w:rsid w:val="00FD70B5"/>
    <w:rPr>
      <w:sz w:val="16"/>
      <w:szCs w:val="16"/>
    </w:rPr>
  </w:style>
  <w:style w:type="paragraph" w:styleId="CommentText">
    <w:name w:val="annotation text"/>
    <w:basedOn w:val="Normal"/>
    <w:link w:val="CommentTextChar"/>
    <w:rsid w:val="00FD70B5"/>
    <w:rPr>
      <w:sz w:val="20"/>
    </w:rPr>
  </w:style>
  <w:style w:type="character" w:customStyle="1" w:styleId="CommentTextChar">
    <w:name w:val="Comment Text Char"/>
    <w:basedOn w:val="DefaultParagraphFont"/>
    <w:link w:val="CommentText"/>
    <w:rsid w:val="00FD70B5"/>
    <w:rPr>
      <w:lang w:val="sl-SI"/>
    </w:rPr>
  </w:style>
  <w:style w:type="paragraph" w:styleId="CommentSubject">
    <w:name w:val="annotation subject"/>
    <w:basedOn w:val="CommentText"/>
    <w:next w:val="CommentText"/>
    <w:link w:val="CommentSubjectChar"/>
    <w:rsid w:val="00FD70B5"/>
    <w:rPr>
      <w:b/>
      <w:bCs/>
    </w:rPr>
  </w:style>
  <w:style w:type="character" w:customStyle="1" w:styleId="CommentSubjectChar">
    <w:name w:val="Comment Subject Char"/>
    <w:basedOn w:val="CommentTextChar"/>
    <w:link w:val="CommentSubject"/>
    <w:rsid w:val="00FD70B5"/>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789</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2026-04-17T07:32:00Z</dcterms:created>
  <dcterms:modified xsi:type="dcterms:W3CDTF">2026-04-17T07:32:00Z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P10_TA(2026)0030_</vt:lpwstr>
  </property>
  <property fmtid="{D5CDD505-2E9C-101B-9397-08002B2CF9AE}" pid="4" name="&lt;Type&gt;">
    <vt:lpwstr>RR</vt:lpwstr>
  </property>
</Properties>
</file>