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547AEE" w14:paraId="26C075CC" w14:textId="77777777" w:rsidTr="0010095E">
        <w:trPr>
          <w:trHeight w:hRule="exact" w:val="1418"/>
        </w:trPr>
        <w:tc>
          <w:tcPr>
            <w:tcW w:w="6804" w:type="dxa"/>
            <w:shd w:val="clear" w:color="auto" w:fill="auto"/>
            <w:vAlign w:val="center"/>
          </w:tcPr>
          <w:p w14:paraId="10C2D597" w14:textId="77777777" w:rsidR="00751A4A" w:rsidRPr="00547AEE" w:rsidRDefault="00EF6CD8" w:rsidP="0010095E">
            <w:pPr>
              <w:pStyle w:val="EPName"/>
            </w:pPr>
            <w:r w:rsidRPr="00547AEE">
              <w:t>Europaparlamentet</w:t>
            </w:r>
          </w:p>
          <w:p w14:paraId="1D88AA3F" w14:textId="77777777" w:rsidR="00751A4A" w:rsidRPr="00547AEE" w:rsidRDefault="005F1B17" w:rsidP="005F1B17">
            <w:pPr>
              <w:pStyle w:val="EPTerm"/>
              <w:rPr>
                <w:rStyle w:val="HideTWBExt"/>
                <w:noProof w:val="0"/>
                <w:vanish w:val="0"/>
                <w:color w:val="auto"/>
              </w:rPr>
            </w:pPr>
            <w:r w:rsidRPr="00547AEE">
              <w:t>2024</w:t>
            </w:r>
            <w:r w:rsidR="00817416" w:rsidRPr="00547AEE">
              <w:t>-202</w:t>
            </w:r>
            <w:r w:rsidRPr="00547AEE">
              <w:t>9</w:t>
            </w:r>
          </w:p>
        </w:tc>
        <w:tc>
          <w:tcPr>
            <w:tcW w:w="2268" w:type="dxa"/>
            <w:shd w:val="clear" w:color="auto" w:fill="auto"/>
          </w:tcPr>
          <w:p w14:paraId="1EF7E2B1" w14:textId="77777777" w:rsidR="00751A4A" w:rsidRPr="00547AEE" w:rsidRDefault="00187494" w:rsidP="0010095E">
            <w:pPr>
              <w:pStyle w:val="EPLogo"/>
            </w:pPr>
            <w:r w:rsidRPr="00547AEE">
              <w:rPr>
                <w:noProof/>
                <w:lang w:eastAsia="ja-JP"/>
              </w:rPr>
              <w:drawing>
                <wp:inline distT="0" distB="0" distL="0" distR="0" wp14:anchorId="35154F3C" wp14:editId="0D8D76B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4073D040" w14:textId="77777777" w:rsidR="00D058B8" w:rsidRPr="00547AEE" w:rsidRDefault="00D058B8" w:rsidP="004C5D52">
      <w:pPr>
        <w:pStyle w:val="LineTop"/>
      </w:pPr>
    </w:p>
    <w:p w14:paraId="3609097B" w14:textId="77777777" w:rsidR="00680577" w:rsidRPr="00547AEE" w:rsidRDefault="00EF6CD8" w:rsidP="00680577">
      <w:pPr>
        <w:pStyle w:val="EPBodyTA1"/>
      </w:pPr>
      <w:r w:rsidRPr="00547AEE">
        <w:t>ANTAGNA TEXTER</w:t>
      </w:r>
    </w:p>
    <w:p w14:paraId="13BD928C" w14:textId="77777777" w:rsidR="00D058B8" w:rsidRPr="00547AEE" w:rsidRDefault="00D058B8" w:rsidP="00D058B8">
      <w:pPr>
        <w:pStyle w:val="LineBottom"/>
      </w:pPr>
    </w:p>
    <w:p w14:paraId="6AABB6AF" w14:textId="76A6049C" w:rsidR="00EF6CD8" w:rsidRPr="00547AEE" w:rsidRDefault="00EF6CD8" w:rsidP="00EF6CD8">
      <w:pPr>
        <w:pStyle w:val="ATHeading1"/>
      </w:pPr>
      <w:bookmarkStart w:id="0" w:name="TANumber"/>
      <w:r w:rsidRPr="00547AEE">
        <w:t>P10_TA(2026)00</w:t>
      </w:r>
      <w:bookmarkEnd w:id="0"/>
      <w:r w:rsidR="00C828AC" w:rsidRPr="00547AEE">
        <w:t>30</w:t>
      </w:r>
    </w:p>
    <w:p w14:paraId="588C4FC2" w14:textId="77777777" w:rsidR="00EF6CD8" w:rsidRPr="00547AEE" w:rsidRDefault="00EF6CD8" w:rsidP="00EF6CD8">
      <w:pPr>
        <w:pStyle w:val="ATHeading2"/>
      </w:pPr>
      <w:bookmarkStart w:id="1" w:name="title"/>
      <w:r w:rsidRPr="00547AEE">
        <w:t xml:space="preserve">Bilateral skyddsklausul i partnerskapsavtalet mellan EU och </w:t>
      </w:r>
      <w:proofErr w:type="spellStart"/>
      <w:r w:rsidRPr="00547AEE">
        <w:t>Mercosur</w:t>
      </w:r>
      <w:proofErr w:type="spellEnd"/>
      <w:r w:rsidRPr="00547AEE">
        <w:t xml:space="preserve"> och interimsavtalet om handel mellan EU och </w:t>
      </w:r>
      <w:proofErr w:type="spellStart"/>
      <w:r w:rsidRPr="00547AEE">
        <w:t>Mercosur</w:t>
      </w:r>
      <w:proofErr w:type="spellEnd"/>
      <w:r w:rsidRPr="00547AEE">
        <w:t xml:space="preserve"> vad gäller jordbruksprodukter</w:t>
      </w:r>
      <w:bookmarkEnd w:id="1"/>
    </w:p>
    <w:p w14:paraId="19DCACCE" w14:textId="77777777" w:rsidR="00EF6CD8" w:rsidRPr="00547AEE" w:rsidRDefault="00EF6CD8" w:rsidP="00EF6CD8">
      <w:pPr>
        <w:rPr>
          <w:i/>
          <w:vanish/>
        </w:rPr>
      </w:pPr>
      <w:r w:rsidRPr="00547AEE">
        <w:rPr>
          <w:i/>
        </w:rPr>
        <w:fldChar w:fldCharType="begin"/>
      </w:r>
      <w:r w:rsidRPr="00547AEE">
        <w:rPr>
          <w:i/>
        </w:rPr>
        <w:instrText xml:space="preserve"> TC"(</w:instrText>
      </w:r>
      <w:bookmarkStart w:id="2" w:name="DocNumber"/>
      <w:r w:rsidRPr="00547AEE">
        <w:rPr>
          <w:i/>
        </w:rPr>
        <w:instrText>A10-0254/2025</w:instrText>
      </w:r>
      <w:bookmarkEnd w:id="2"/>
      <w:r w:rsidRPr="00547AEE">
        <w:rPr>
          <w:i/>
        </w:rPr>
        <w:instrText xml:space="preserve"> - Föredragande: Gabriel Mato)"\l3 \n&gt; \* MERGEFORMAT </w:instrText>
      </w:r>
      <w:r w:rsidRPr="00547AEE">
        <w:rPr>
          <w:i/>
        </w:rPr>
        <w:fldChar w:fldCharType="end"/>
      </w:r>
    </w:p>
    <w:p w14:paraId="41DE20D2" w14:textId="77777777" w:rsidR="00EF6CD8" w:rsidRPr="00547AEE" w:rsidRDefault="00EF6CD8" w:rsidP="00EF6CD8">
      <w:pPr>
        <w:rPr>
          <w:vanish/>
        </w:rPr>
      </w:pPr>
      <w:bookmarkStart w:id="3" w:name="Commission"/>
      <w:r w:rsidRPr="00547AEE">
        <w:rPr>
          <w:vanish/>
        </w:rPr>
        <w:t>Utskottet för internationell handel</w:t>
      </w:r>
      <w:bookmarkEnd w:id="3"/>
    </w:p>
    <w:p w14:paraId="019DE4CC" w14:textId="77777777" w:rsidR="00EF6CD8" w:rsidRPr="00547AEE" w:rsidRDefault="00EF6CD8" w:rsidP="00EF6CD8">
      <w:pPr>
        <w:rPr>
          <w:vanish/>
        </w:rPr>
      </w:pPr>
      <w:bookmarkStart w:id="4" w:name="PE"/>
      <w:r w:rsidRPr="00547AEE">
        <w:rPr>
          <w:vanish/>
        </w:rPr>
        <w:t>PE779.615</w:t>
      </w:r>
      <w:bookmarkEnd w:id="4"/>
    </w:p>
    <w:p w14:paraId="215F04AF" w14:textId="712D1F98" w:rsidR="00EF6CD8" w:rsidRPr="00547AEE" w:rsidRDefault="00EF6CD8" w:rsidP="00EF6CD8">
      <w:pPr>
        <w:pStyle w:val="ATHeading3"/>
      </w:pPr>
      <w:bookmarkStart w:id="5" w:name="Sujet"/>
      <w:r w:rsidRPr="00547AEE">
        <w:t xml:space="preserve">Europaparlamentets lagstiftningsresolution av den </w:t>
      </w:r>
      <w:r w:rsidR="00FF73D1" w:rsidRPr="00547AEE">
        <w:t>10</w:t>
      </w:r>
      <w:r w:rsidRPr="00547AEE">
        <w:t xml:space="preserve"> </w:t>
      </w:r>
      <w:r w:rsidR="00B73240" w:rsidRPr="00547AEE">
        <w:t>februari</w:t>
      </w:r>
      <w:r w:rsidRPr="00547AEE">
        <w:t xml:space="preserve"> 2026 om förslaget till Europaparlamentets och rådets förordning om genomförande av den bilaterala skyddsklausulen i partnerskapsavtalet mellan EU och </w:t>
      </w:r>
      <w:proofErr w:type="spellStart"/>
      <w:r w:rsidRPr="00547AEE">
        <w:t>Mercosur</w:t>
      </w:r>
      <w:proofErr w:type="spellEnd"/>
      <w:r w:rsidRPr="00547AEE">
        <w:t xml:space="preserve"> och interimsavtalet om handel mellan EU och </w:t>
      </w:r>
      <w:proofErr w:type="spellStart"/>
      <w:r w:rsidRPr="00547AEE">
        <w:t>Mercosur</w:t>
      </w:r>
      <w:proofErr w:type="spellEnd"/>
      <w:r w:rsidRPr="00547AEE">
        <w:t xml:space="preserve"> vad gäller jordbruksprodukter</w:t>
      </w:r>
      <w:bookmarkEnd w:id="5"/>
      <w:r w:rsidRPr="00547AEE">
        <w:t xml:space="preserve"> </w:t>
      </w:r>
      <w:bookmarkStart w:id="6" w:name="References"/>
      <w:r w:rsidRPr="00547AEE">
        <w:t>(COM(2025)0639 – C10-0247/2025 – 2025/0322(COD))</w:t>
      </w:r>
      <w:bookmarkEnd w:id="6"/>
    </w:p>
    <w:p w14:paraId="72057959" w14:textId="77777777" w:rsidR="00556147" w:rsidRPr="00547AEE" w:rsidRDefault="00556147" w:rsidP="00556147">
      <w:pPr>
        <w:pStyle w:val="NormalBold"/>
      </w:pPr>
      <w:r w:rsidRPr="00547AEE">
        <w:t>(Ordinarie lagstiftningsförfarande: första behandlingen)</w:t>
      </w:r>
    </w:p>
    <w:p w14:paraId="570D355B" w14:textId="77777777" w:rsidR="00556147" w:rsidRPr="00547AEE" w:rsidRDefault="00556147" w:rsidP="00556147">
      <w:pPr>
        <w:pStyle w:val="EPComma"/>
      </w:pPr>
      <w:r w:rsidRPr="00547AEE">
        <w:rPr>
          <w:i/>
        </w:rPr>
        <w:t>Europaparlamentet utfärdar denna resolution</w:t>
      </w:r>
    </w:p>
    <w:p w14:paraId="30C4BECC" w14:textId="77777777" w:rsidR="00556147" w:rsidRPr="00547AEE" w:rsidRDefault="00556147" w:rsidP="00556147">
      <w:pPr>
        <w:pStyle w:val="NormalHanging12a"/>
      </w:pPr>
      <w:r w:rsidRPr="00547AEE">
        <w:t>–</w:t>
      </w:r>
      <w:r w:rsidRPr="00547AEE">
        <w:tab/>
        <w:t>med beaktande av kommissionens förslag till Europaparlamentet och rådet (COM(2025)0639),</w:t>
      </w:r>
    </w:p>
    <w:p w14:paraId="06D870AE" w14:textId="77777777" w:rsidR="00556147" w:rsidRPr="00547AEE" w:rsidRDefault="00556147" w:rsidP="00556147">
      <w:pPr>
        <w:pStyle w:val="NormalHanging12a"/>
      </w:pPr>
      <w:r w:rsidRPr="00547AEE">
        <w:t>–</w:t>
      </w:r>
      <w:r w:rsidRPr="00547AEE">
        <w:tab/>
        <w:t>med beaktande av artiklarna 294.2 och 207.2 i fördraget om Europeiska unionens funktionssätt, i enlighet med vilka kommissionen har lagt fram sitt förslag för parlamentet (C10</w:t>
      </w:r>
      <w:r w:rsidRPr="00547AEE">
        <w:noBreakHyphen/>
        <w:t>0247/2025),</w:t>
      </w:r>
    </w:p>
    <w:p w14:paraId="38676B26" w14:textId="77777777" w:rsidR="00556147" w:rsidRPr="00547AEE" w:rsidRDefault="00556147" w:rsidP="00556147">
      <w:pPr>
        <w:pStyle w:val="NormalHanging12a"/>
      </w:pPr>
      <w:r w:rsidRPr="00547AEE">
        <w:t>–</w:t>
      </w:r>
      <w:r w:rsidRPr="00547AEE">
        <w:tab/>
        <w:t>med beaktande av artikel 294.3 i fördraget om Europeiska unionens funktionssätt,</w:t>
      </w:r>
    </w:p>
    <w:p w14:paraId="00D3F31C" w14:textId="4E311AE7" w:rsidR="00FF73D1" w:rsidRPr="00547AEE" w:rsidRDefault="00547AEE" w:rsidP="00547AEE">
      <w:pPr>
        <w:widowControl/>
        <w:spacing w:after="240"/>
        <w:ind w:left="567" w:hanging="567"/>
      </w:pPr>
      <w:bookmarkStart w:id="7" w:name="_Hlk221543651"/>
      <w:r w:rsidRPr="00547AEE">
        <w:t>–</w:t>
      </w:r>
      <w:r w:rsidRPr="00547AEE">
        <w:tab/>
      </w:r>
      <w:r w:rsidR="00FF73D1" w:rsidRPr="00547AEE">
        <w:t>med beaktande av den preliminära överenskommelse som godkänts av det ansvariga utskottet enligt artikel 75.4 i arbetsordningen och det skriftliga åtagandet från rådets företrädare av den 9 januari 2026 att godkänna parlamentets ståndpunkt i enlighet med artikel 294.4 i fördraget om Europeiska unionens funktionssätt,</w:t>
      </w:r>
      <w:bookmarkEnd w:id="7"/>
    </w:p>
    <w:p w14:paraId="72866386" w14:textId="77777777" w:rsidR="00556147" w:rsidRPr="00547AEE" w:rsidRDefault="00556147" w:rsidP="00556147">
      <w:pPr>
        <w:pStyle w:val="NormalHanging12a"/>
      </w:pPr>
      <w:r w:rsidRPr="00547AEE">
        <w:t>–</w:t>
      </w:r>
      <w:r w:rsidRPr="00547AEE">
        <w:tab/>
        <w:t>med beaktande av artikel 60 i arbetsordningen,</w:t>
      </w:r>
    </w:p>
    <w:p w14:paraId="28A4F9E7" w14:textId="77777777" w:rsidR="00556147" w:rsidRPr="00547AEE" w:rsidRDefault="00556147" w:rsidP="00556147">
      <w:pPr>
        <w:pStyle w:val="NormalHanging12a"/>
      </w:pPr>
      <w:r w:rsidRPr="00547AEE">
        <w:t>–</w:t>
      </w:r>
      <w:r w:rsidRPr="00547AEE">
        <w:tab/>
        <w:t>med beaktande av betänkandet från utskottet för internationell handel (A10-0254/2025).</w:t>
      </w:r>
    </w:p>
    <w:p w14:paraId="5C13CDE3" w14:textId="30886F83" w:rsidR="00556147" w:rsidRPr="00547AEE" w:rsidRDefault="00556147" w:rsidP="00556147">
      <w:pPr>
        <w:pStyle w:val="NormalHanging12a"/>
      </w:pPr>
      <w:r w:rsidRPr="00547AEE">
        <w:t>1.</w:t>
      </w:r>
      <w:r w:rsidRPr="00547AEE">
        <w:tab/>
        <w:t>Europaparlamentet antar nedanstående ståndpunkt vid första behandlingen</w:t>
      </w:r>
      <w:r w:rsidR="00FF73D1" w:rsidRPr="00547AEE">
        <w:rPr>
          <w:rStyle w:val="FootnoteReference"/>
        </w:rPr>
        <w:footnoteReference w:id="1"/>
      </w:r>
      <w:r w:rsidRPr="00547AEE">
        <w:t>.</w:t>
      </w:r>
    </w:p>
    <w:p w14:paraId="6CE1019F" w14:textId="50144653" w:rsidR="00FF73D1" w:rsidRPr="00547AEE" w:rsidRDefault="00FF73D1" w:rsidP="00032EF0">
      <w:pPr>
        <w:ind w:left="567" w:hanging="567"/>
      </w:pPr>
      <w:r w:rsidRPr="00547AEE">
        <w:t>2.</w:t>
      </w:r>
      <w:r w:rsidRPr="00547AEE">
        <w:tab/>
        <w:t xml:space="preserve">Europaparlamentet tar del av kommissionens uttalande, som bifogas denna resolution </w:t>
      </w:r>
      <w:r w:rsidRPr="00547AEE">
        <w:lastRenderedPageBreak/>
        <w:t xml:space="preserve">och som kommer att offentliggöras i </w:t>
      </w:r>
      <w:r w:rsidRPr="00547AEE">
        <w:rPr>
          <w:i/>
          <w:iCs/>
        </w:rPr>
        <w:t>Europeiska unionens officiella tidning</w:t>
      </w:r>
      <w:r w:rsidRPr="00547AEE">
        <w:t xml:space="preserve"> (C-serien).</w:t>
      </w:r>
    </w:p>
    <w:p w14:paraId="7ECE556D" w14:textId="4E275CA6" w:rsidR="00556147" w:rsidRPr="00547AEE" w:rsidRDefault="00FF73D1" w:rsidP="00032EF0">
      <w:pPr>
        <w:pStyle w:val="NormalHanging12a"/>
        <w:spacing w:before="240"/>
      </w:pPr>
      <w:r w:rsidRPr="00547AEE">
        <w:t>3</w:t>
      </w:r>
      <w:r w:rsidR="00556147" w:rsidRPr="00547AEE">
        <w:t>.</w:t>
      </w:r>
      <w:r w:rsidR="00556147" w:rsidRPr="00547AEE">
        <w:tab/>
        <w:t>Europaparlamentet uppmanar kommissionen att på nytt lägga fram ärendet för parlamentet om den ersätter, väsentligt ändrar eller har för avsikt att väsentligt ändra sitt förslag.</w:t>
      </w:r>
    </w:p>
    <w:p w14:paraId="4CB0403E" w14:textId="571A30EF" w:rsidR="00556147" w:rsidRPr="00547AEE" w:rsidRDefault="00FF73D1" w:rsidP="00556147">
      <w:pPr>
        <w:pStyle w:val="NormalHanging12a"/>
      </w:pPr>
      <w:r w:rsidRPr="00547AEE">
        <w:t>4</w:t>
      </w:r>
      <w:r w:rsidR="00556147" w:rsidRPr="00547AEE">
        <w:t>.</w:t>
      </w:r>
      <w:r w:rsidR="00556147" w:rsidRPr="00547AEE">
        <w:tab/>
        <w:t>Europaparlamentet uppdrar åt talmannen att översända parlamentets ståndpunkt till rådet, kommissionen och de nationella parlamenten.</w:t>
      </w:r>
    </w:p>
    <w:p w14:paraId="0446A6AB" w14:textId="77777777" w:rsidR="00FF73D1" w:rsidRPr="00547AEE" w:rsidRDefault="00FF73D1" w:rsidP="00556147">
      <w:pPr>
        <w:widowControl/>
        <w:sectPr w:rsidR="00FF73D1" w:rsidRPr="00547AEE" w:rsidSect="000E4BBD">
          <w:footnotePr>
            <w:numRestart w:val="eachSect"/>
          </w:footnotePr>
          <w:endnotePr>
            <w:numFmt w:val="decimal"/>
          </w:endnotePr>
          <w:pgSz w:w="11906" w:h="16838" w:code="9"/>
          <w:pgMar w:top="1134" w:right="1418" w:bottom="1418" w:left="1418" w:header="1134" w:footer="567" w:gutter="0"/>
          <w:cols w:space="720"/>
          <w:noEndnote/>
          <w:docGrid w:linePitch="326"/>
        </w:sectPr>
      </w:pPr>
    </w:p>
    <w:p w14:paraId="53BAB980" w14:textId="5502D4ED" w:rsidR="00E5346D" w:rsidRPr="00547AEE" w:rsidRDefault="00E5346D" w:rsidP="00032EF0">
      <w:pPr>
        <w:autoSpaceDE w:val="0"/>
        <w:autoSpaceDN w:val="0"/>
        <w:adjustRightInd w:val="0"/>
        <w:spacing w:after="240"/>
        <w:rPr>
          <w:rFonts w:eastAsia="Calibri"/>
          <w:b/>
          <w:bCs/>
          <w:color w:val="000000"/>
          <w:szCs w:val="24"/>
        </w:rPr>
      </w:pPr>
      <w:bookmarkStart w:id="8" w:name="DQC_RangeToBeChecked"/>
      <w:r w:rsidRPr="00547AEE">
        <w:rPr>
          <w:rFonts w:eastAsia="Calibri"/>
          <w:b/>
          <w:bCs/>
          <w:color w:val="000000"/>
          <w:szCs w:val="24"/>
        </w:rPr>
        <w:lastRenderedPageBreak/>
        <w:t>P10_TC1-COD(2025)0322</w:t>
      </w:r>
    </w:p>
    <w:p w14:paraId="2576E8DA" w14:textId="3AA412E4" w:rsidR="00FF73D1" w:rsidRDefault="00FF73D1" w:rsidP="00FF73D1">
      <w:pPr>
        <w:tabs>
          <w:tab w:val="right" w:pos="9072"/>
        </w:tabs>
        <w:rPr>
          <w:rFonts w:eastAsia="Calibri"/>
          <w:b/>
          <w:szCs w:val="22"/>
          <w:lang w:eastAsia="sv-SE" w:bidi="sv-SE"/>
        </w:rPr>
      </w:pPr>
      <w:r w:rsidRPr="00547AEE">
        <w:rPr>
          <w:rFonts w:eastAsia="Calibri"/>
          <w:b/>
          <w:szCs w:val="22"/>
          <w:lang w:eastAsia="sv-SE" w:bidi="sv-SE"/>
        </w:rPr>
        <w:t xml:space="preserve">Europaparlamentets ståndpunkt fastställd vid första behandlingen den 10 februari 2026 inför antagandet av Europaparlamentets och rådets förordning (EU) 2026/… om genomförande av de bilaterala skyddsklausulerna i partnerskapsavtalet mellan EU och </w:t>
      </w:r>
      <w:proofErr w:type="spellStart"/>
      <w:r w:rsidRPr="00547AEE">
        <w:rPr>
          <w:rFonts w:eastAsia="Calibri"/>
          <w:b/>
          <w:szCs w:val="22"/>
          <w:lang w:eastAsia="sv-SE" w:bidi="sv-SE"/>
        </w:rPr>
        <w:t>Mercosur</w:t>
      </w:r>
      <w:proofErr w:type="spellEnd"/>
      <w:r w:rsidRPr="00547AEE">
        <w:rPr>
          <w:rFonts w:eastAsia="Calibri"/>
          <w:b/>
          <w:szCs w:val="22"/>
          <w:lang w:eastAsia="sv-SE" w:bidi="sv-SE"/>
        </w:rPr>
        <w:t xml:space="preserve"> och interimsavtalet om handel mellan EU och </w:t>
      </w:r>
      <w:proofErr w:type="spellStart"/>
      <w:r w:rsidRPr="00547AEE">
        <w:rPr>
          <w:rFonts w:eastAsia="Calibri"/>
          <w:b/>
          <w:szCs w:val="22"/>
          <w:lang w:eastAsia="sv-SE" w:bidi="sv-SE"/>
        </w:rPr>
        <w:t>Mercosur</w:t>
      </w:r>
      <w:proofErr w:type="spellEnd"/>
      <w:r w:rsidRPr="00547AEE">
        <w:rPr>
          <w:rFonts w:eastAsia="Calibri"/>
          <w:b/>
          <w:szCs w:val="22"/>
          <w:lang w:eastAsia="sv-SE" w:bidi="sv-SE"/>
        </w:rPr>
        <w:t xml:space="preserve"> vad gäller jordbruksprodukter</w:t>
      </w:r>
    </w:p>
    <w:p w14:paraId="07128E01" w14:textId="43CCED61" w:rsidR="001D1A16" w:rsidRPr="001D1A16" w:rsidRDefault="001D1A16" w:rsidP="001D1A16">
      <w:pPr>
        <w:widowControl/>
        <w:spacing w:before="360"/>
        <w:rPr>
          <w:szCs w:val="24"/>
        </w:rPr>
      </w:pPr>
      <w:r w:rsidRPr="001D1A16">
        <w:rPr>
          <w:i/>
          <w:szCs w:val="24"/>
          <w:lang w:eastAsia="en-US"/>
        </w:rPr>
        <w:t>(Eftersom det nåddes en överenskommelse mellan parlamentet och rådet, motsvarar parlamentets ståndpunkt den slutliga rättsakten, förordning (EU) 202</w:t>
      </w:r>
      <w:r w:rsidRPr="001D1A16">
        <w:rPr>
          <w:i/>
          <w:szCs w:val="24"/>
          <w:lang w:eastAsia="en-US"/>
        </w:rPr>
        <w:t>6</w:t>
      </w:r>
      <w:r w:rsidRPr="001D1A16">
        <w:rPr>
          <w:i/>
          <w:szCs w:val="24"/>
          <w:lang w:eastAsia="en-US"/>
        </w:rPr>
        <w:t>/</w:t>
      </w:r>
      <w:r w:rsidRPr="001D1A16">
        <w:rPr>
          <w:i/>
          <w:szCs w:val="24"/>
          <w:lang w:eastAsia="en-US"/>
        </w:rPr>
        <w:t>687</w:t>
      </w:r>
      <w:r w:rsidRPr="001D1A16">
        <w:rPr>
          <w:i/>
          <w:szCs w:val="24"/>
          <w:lang w:eastAsia="en-US"/>
        </w:rPr>
        <w:t>.)</w:t>
      </w:r>
    </w:p>
    <w:p w14:paraId="41BB1A25" w14:textId="77777777" w:rsidR="001D1A16" w:rsidRDefault="001D1A16" w:rsidP="00FF73D1">
      <w:pPr>
        <w:tabs>
          <w:tab w:val="right" w:pos="9072"/>
        </w:tabs>
        <w:rPr>
          <w:rFonts w:eastAsia="Calibri"/>
          <w:b/>
          <w:szCs w:val="22"/>
          <w:lang w:eastAsia="sv-SE" w:bidi="sv-SE"/>
        </w:rPr>
      </w:pPr>
    </w:p>
    <w:p w14:paraId="7BB6DD91" w14:textId="77777777" w:rsidR="001D1A16" w:rsidRPr="00547AEE" w:rsidRDefault="001D1A16" w:rsidP="00FF73D1">
      <w:pPr>
        <w:tabs>
          <w:tab w:val="right" w:pos="9072"/>
        </w:tabs>
        <w:rPr>
          <w:rFonts w:eastAsia="Calibri"/>
          <w:b/>
          <w:noProof/>
          <w:szCs w:val="22"/>
          <w:lang w:eastAsia="sv-SE" w:bidi="sv-SE"/>
        </w:rPr>
      </w:pPr>
    </w:p>
    <w:bookmarkEnd w:id="8"/>
    <w:p w14:paraId="38FCBCED" w14:textId="77777777" w:rsidR="001D1A16" w:rsidRDefault="001D1A16" w:rsidP="00032EF0">
      <w:pPr>
        <w:spacing w:line="360" w:lineRule="auto"/>
        <w:jc w:val="right"/>
        <w:sectPr w:rsidR="001D1A16" w:rsidSect="00FF73D1">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sectPr>
      </w:pPr>
    </w:p>
    <w:p w14:paraId="5135BF11" w14:textId="0E3A9C3A" w:rsidR="00E365E1" w:rsidRPr="00547AEE" w:rsidRDefault="00FF73D1" w:rsidP="00032EF0">
      <w:pPr>
        <w:spacing w:line="360" w:lineRule="auto"/>
        <w:jc w:val="right"/>
      </w:pPr>
      <w:r w:rsidRPr="00547AEE">
        <w:lastRenderedPageBreak/>
        <w:t>BILAGA TILL LAGSTIFTNINGSRESOLUTIONEN</w:t>
      </w:r>
    </w:p>
    <w:p w14:paraId="7F166DEC" w14:textId="43B5CF71" w:rsidR="00C03CE2" w:rsidRPr="00547AEE" w:rsidRDefault="00C03CE2" w:rsidP="00032EF0">
      <w:pPr>
        <w:spacing w:before="120" w:after="120"/>
        <w:rPr>
          <w:rFonts w:eastAsia="Calibri"/>
          <w:b/>
          <w:bCs/>
          <w:szCs w:val="22"/>
          <w:lang w:eastAsia="sv-SE" w:bidi="sv-SE"/>
        </w:rPr>
      </w:pPr>
      <w:r w:rsidRPr="00547AEE">
        <w:rPr>
          <w:rFonts w:eastAsia="Calibri"/>
          <w:b/>
          <w:szCs w:val="22"/>
          <w:lang w:eastAsia="sv-SE" w:bidi="sv-SE"/>
        </w:rPr>
        <w:t xml:space="preserve">Uttalande från Europeiska kommissionen om produktionsstandarder för importerade jordbruksbaserade livsmedelsprodukter och om sanitära och </w:t>
      </w:r>
      <w:proofErr w:type="spellStart"/>
      <w:r w:rsidRPr="00547AEE">
        <w:rPr>
          <w:rFonts w:eastAsia="Calibri"/>
          <w:b/>
          <w:szCs w:val="22"/>
          <w:lang w:eastAsia="sv-SE" w:bidi="sv-SE"/>
        </w:rPr>
        <w:t>fytosanitära</w:t>
      </w:r>
      <w:proofErr w:type="spellEnd"/>
      <w:r w:rsidRPr="00547AEE">
        <w:rPr>
          <w:rFonts w:eastAsia="Calibri"/>
          <w:b/>
          <w:szCs w:val="22"/>
          <w:lang w:eastAsia="sv-SE" w:bidi="sv-SE"/>
        </w:rPr>
        <w:t xml:space="preserve"> kontroller vid antagandet av </w:t>
      </w:r>
      <w:r w:rsidRPr="001D1A16">
        <w:rPr>
          <w:rFonts w:eastAsia="Calibri"/>
          <w:b/>
          <w:szCs w:val="22"/>
          <w:lang w:eastAsia="sv-SE" w:bidi="sv-SE"/>
        </w:rPr>
        <w:t>förordning (EU) 2026/</w:t>
      </w:r>
      <w:r w:rsidR="001D1A16" w:rsidRPr="001D1A16">
        <w:rPr>
          <w:rFonts w:eastAsia="Calibri"/>
          <w:b/>
          <w:szCs w:val="22"/>
          <w:lang w:eastAsia="sv-SE" w:bidi="sv-SE"/>
        </w:rPr>
        <w:t>687</w:t>
      </w:r>
      <w:r w:rsidR="001D1A16" w:rsidRPr="001D1A16">
        <w:rPr>
          <w:rStyle w:val="FootnoteReference"/>
          <w:rFonts w:eastAsia="Aptos"/>
          <w:kern w:val="2"/>
          <w:szCs w:val="22"/>
          <w:lang w:eastAsia="en-US"/>
          <w14:ligatures w14:val="standardContextual"/>
        </w:rPr>
        <w:footnoteReference w:id="2"/>
      </w:r>
    </w:p>
    <w:p w14:paraId="1A83F896" w14:textId="77777777" w:rsidR="00C03CE2" w:rsidRPr="00547AEE" w:rsidRDefault="00C03CE2" w:rsidP="00C03CE2">
      <w:pPr>
        <w:widowControl/>
        <w:spacing w:before="240" w:after="120"/>
        <w:rPr>
          <w:rFonts w:eastAsia="Calibri"/>
          <w:szCs w:val="22"/>
          <w:lang w:eastAsia="sv-SE" w:bidi="sv-SE"/>
        </w:rPr>
      </w:pPr>
      <w:r w:rsidRPr="00547AEE">
        <w:rPr>
          <w:rFonts w:eastAsia="Calibri"/>
          <w:szCs w:val="22"/>
          <w:lang w:eastAsia="sv-SE" w:bidi="sv-SE"/>
        </w:rPr>
        <w:t>I visionen på jordbruks- och livsmedelsområdet tillkännager kommissionen sina planer på att sörja för en striktare tillnärmning av de produktionsstandarder som gäller för importerade produkter, särskilt i fråga om djurskydd och bekämpningsmedel.</w:t>
      </w:r>
    </w:p>
    <w:p w14:paraId="53E46417" w14:textId="39C82ACB" w:rsidR="00C03CE2" w:rsidRPr="00547AEE" w:rsidRDefault="00C03CE2" w:rsidP="00C03CE2">
      <w:pPr>
        <w:widowControl/>
        <w:spacing w:before="120" w:after="120"/>
        <w:rPr>
          <w:rFonts w:eastAsia="Calibri"/>
          <w:szCs w:val="22"/>
          <w:lang w:eastAsia="sv-SE" w:bidi="sv-SE"/>
        </w:rPr>
      </w:pPr>
      <w:r w:rsidRPr="00547AEE">
        <w:rPr>
          <w:rFonts w:eastAsia="Calibri"/>
          <w:szCs w:val="22"/>
          <w:lang w:eastAsia="sv-SE" w:bidi="sv-SE"/>
        </w:rPr>
        <w:t>När det gäller bekämpningsmedel innehåller visionen principen att de farligaste bekämpningsmedlen, vilka förbjudits i EU av hälso- och miljöskäl, inte bör tillåtas att komma tillbaka till EU genom importerade produkter. Syftet därmed är att undvika en konkurrensnackdel för EU:s jordbrukare och den jordbruksbaserade livsmedelssektorn samtidigt som konsumenternas förväntningar tillgodoses. För att gå vidare med detta inledde kommissionen den 25 november 2025 en förstudie inför en konsekvensbedömning av effekterna av denna strategi. Mot bakgrund av resultaten, och om så är lämpligt, kommer kommissionen att föreslå ändringar av den tillämpliga rättsliga ramen. Förstudien förväntas vara klar sommaren 2026 och därefter kommer konsekvensbedömningen att följa. Den befintliga EU-lagstiftningen skyddar redan konsumenterna och säkerställer att alla livsmedel som släpps ut på marknaden uppfyller våra höga hälso- och säkerhetsnormer, men kommissionen är fortfarande fast besluten att sträva efter striktare tillnärmning av de produktionsstandarder som gäller för importerade produkter, säkerställa lika villkor för våra jordbrukare och producenter och upprätthålla konsumentskyddet.</w:t>
      </w:r>
    </w:p>
    <w:p w14:paraId="7BE098C6" w14:textId="01939E7D" w:rsidR="00C03CE2" w:rsidRPr="00547AEE" w:rsidRDefault="00C03CE2" w:rsidP="00C03CE2">
      <w:pPr>
        <w:widowControl/>
        <w:spacing w:before="120" w:after="120"/>
        <w:rPr>
          <w:rFonts w:eastAsia="Calibri"/>
          <w:szCs w:val="22"/>
          <w:lang w:eastAsia="sv-SE" w:bidi="sv-SE"/>
        </w:rPr>
      </w:pPr>
      <w:r w:rsidRPr="00547AEE">
        <w:rPr>
          <w:rFonts w:eastAsia="Calibri"/>
          <w:szCs w:val="22"/>
          <w:lang w:eastAsia="sv-SE" w:bidi="sv-SE"/>
        </w:rPr>
        <w:t>I väntan på att detta blir verklighet har kommissionen, inom ramen för förslaget till åtgärder för förenkling på området för livsmedel och livsmedelssäkerhet av den 16 december 2025, föreslagit att den nuvarande lagstiftningen ska ändras så att gränsvärdena för högsta tillåtna resthalter av ämnen som inte är godkända i unionen och som har vissa särskilt farliga egenskaper, kan fastställas till noll om det anses lämpligt till följd av resultatet av en konsekvensbedömning.</w:t>
      </w:r>
    </w:p>
    <w:p w14:paraId="7251DCA3" w14:textId="0424B6EB" w:rsidR="00C03CE2" w:rsidRPr="00547AEE" w:rsidRDefault="00C03CE2" w:rsidP="00C03CE2">
      <w:pPr>
        <w:widowControl/>
        <w:spacing w:before="120" w:after="120"/>
        <w:rPr>
          <w:rFonts w:eastAsia="Calibri"/>
          <w:szCs w:val="22"/>
          <w:lang w:eastAsia="sv-SE" w:bidi="sv-SE"/>
        </w:rPr>
      </w:pPr>
      <w:r w:rsidRPr="00547AEE">
        <w:rPr>
          <w:rFonts w:eastAsia="Calibri"/>
          <w:szCs w:val="22"/>
          <w:lang w:eastAsia="sv-SE" w:bidi="sv-SE"/>
        </w:rPr>
        <w:t xml:space="preserve">När det gäller djurskydd avslutade kommissionen den 17 december 2025 ett offentligt samråd om översynen av EU:s lagstiftning om djurskyddet för vissa lantbruksdjur, vilken omfattar frågan om huruvida och i vilken utsträckning likvärdiga djurskyddsnormer bör gälla för import av djur och animaliska produkter. Efter konsekvensbedömningen kommer kommissionen att gå vidare med relevanta förslag. </w:t>
      </w:r>
    </w:p>
    <w:p w14:paraId="498A4B08" w14:textId="101EFE23" w:rsidR="00C03CE2" w:rsidRPr="00547AEE" w:rsidRDefault="00C03CE2" w:rsidP="00C03CE2">
      <w:pPr>
        <w:widowControl/>
        <w:spacing w:before="120" w:after="120"/>
        <w:rPr>
          <w:rFonts w:eastAsia="Calibri"/>
          <w:szCs w:val="22"/>
          <w:lang w:eastAsia="sv-SE" w:bidi="sv-SE"/>
        </w:rPr>
      </w:pPr>
      <w:r w:rsidRPr="00547AEE">
        <w:rPr>
          <w:rFonts w:eastAsia="Calibri"/>
          <w:szCs w:val="22"/>
          <w:lang w:eastAsia="sv-SE" w:bidi="sv-SE"/>
        </w:rPr>
        <w:t xml:space="preserve">När det gäller importkontroller tillkännagav kommissionen den 9 december 2025 planer på att intensifiera och förbättra de kontroller som utförs direkt på plats i alla tredjeländer, inbegripet avseende livsmedelsimporten från </w:t>
      </w:r>
      <w:proofErr w:type="spellStart"/>
      <w:r w:rsidRPr="00547AEE">
        <w:rPr>
          <w:rFonts w:eastAsia="Calibri"/>
          <w:szCs w:val="22"/>
          <w:lang w:eastAsia="sv-SE" w:bidi="sv-SE"/>
        </w:rPr>
        <w:t>Mercosurländerna</w:t>
      </w:r>
      <w:proofErr w:type="spellEnd"/>
      <w:r w:rsidRPr="00547AEE">
        <w:rPr>
          <w:rFonts w:eastAsia="Calibri"/>
          <w:szCs w:val="22"/>
          <w:lang w:eastAsia="sv-SE" w:bidi="sv-SE"/>
        </w:rPr>
        <w:t xml:space="preserve">. Kommissionen kommer att öka sina exportrelaterade kontroller i länder utanför EU med 50 % under de kommande två åren, med början den 1 januari 2026. Kommissionen kommer också att intensifiera övervakningen av varor och länder som inte uppfyller kraven och anpassa kontrollfrekvensen i enlighet därmed. Dessutom kommer kommissionen att stärka kontrollnivån inom EU, särskilt vid de viktigaste införselställena. För detta ändamål kommer kommissionen att utföra ett större antal kontroller i medlemsstaterna för att säkerställa att kontrollerna vid gränserna fullt ut överensstämmer med EU:s standarder och kommer även att hjälpa medlemsstaterna att se till att kontrollerna utförs korrekt. Kommissionen kommer att inrätta en särskild EU-insatsgrupp i syfte att effektivisera importkontrollerna, som särskilt kommer att fokusera på </w:t>
      </w:r>
      <w:r w:rsidRPr="00547AEE">
        <w:rPr>
          <w:rFonts w:eastAsia="Calibri"/>
          <w:szCs w:val="22"/>
          <w:lang w:eastAsia="sv-SE" w:bidi="sv-SE"/>
        </w:rPr>
        <w:lastRenderedPageBreak/>
        <w:t>bekämpningsmedelsrester, livsmedels- och fodersäkerhet och djurskydd och som kommer att bedöma behovet av samordnade EU-övervakningsåtgärder för importerade produkter.</w:t>
      </w:r>
    </w:p>
    <w:p w14:paraId="4AACF60E" w14:textId="77777777" w:rsidR="00C03CE2" w:rsidRPr="00547AEE" w:rsidRDefault="00C03CE2" w:rsidP="00C03CE2"/>
    <w:sectPr w:rsidR="00C03CE2" w:rsidRPr="00547AEE" w:rsidSect="00FF73D1">
      <w:footnotePr>
        <w:numRestart w:val="eachSect"/>
      </w:footnotePr>
      <w:endnotePr>
        <w:numFmt w:val="decimal"/>
      </w:endnotePr>
      <w:pgSz w:w="11906" w:h="16838" w:code="9"/>
      <w:pgMar w:top="1134" w:right="1418" w:bottom="1418" w:left="1418" w:header="1134"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DBD161" w14:textId="77777777" w:rsidR="00EF6CD8" w:rsidRPr="000E4BBD" w:rsidRDefault="00EF6CD8">
      <w:r w:rsidRPr="000E4BBD">
        <w:separator/>
      </w:r>
    </w:p>
  </w:endnote>
  <w:endnote w:type="continuationSeparator" w:id="0">
    <w:p w14:paraId="74B0E4F6" w14:textId="77777777" w:rsidR="00EF6CD8" w:rsidRPr="000E4BBD" w:rsidRDefault="00EF6CD8">
      <w:r w:rsidRPr="000E4BB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A8035" w14:textId="77777777" w:rsidR="00E5346D" w:rsidRDefault="00E5346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AC90C4" w14:textId="77777777" w:rsidR="00E5346D" w:rsidRPr="001D1A16" w:rsidRDefault="00E5346D" w:rsidP="00C40E3B">
    <w:pPr>
      <w:pStyle w:val="EPFooter2"/>
      <w:rPr>
        <w:rFonts w:ascii="Times New Roman" w:hAnsi="Times New Roman" w:cs="Times New Roman"/>
        <w:sz w:val="24"/>
        <w:szCs w:val="24"/>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964D6" w14:textId="77777777" w:rsidR="00E5346D" w:rsidRDefault="00E5346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2C3B6F1" w14:textId="77777777" w:rsidR="00EF6CD8" w:rsidRPr="000E4BBD" w:rsidRDefault="00EF6CD8">
      <w:r w:rsidRPr="000E4BBD">
        <w:separator/>
      </w:r>
    </w:p>
  </w:footnote>
  <w:footnote w:type="continuationSeparator" w:id="0">
    <w:p w14:paraId="2E6A4A9F" w14:textId="77777777" w:rsidR="00EF6CD8" w:rsidRPr="000E4BBD" w:rsidRDefault="00EF6CD8">
      <w:r w:rsidRPr="000E4BBD">
        <w:continuationSeparator/>
      </w:r>
    </w:p>
  </w:footnote>
  <w:footnote w:id="1">
    <w:p w14:paraId="041C6179" w14:textId="5E9E916E" w:rsidR="00FF73D1" w:rsidRPr="00C828AC" w:rsidRDefault="00FF73D1" w:rsidP="00FF73D1">
      <w:pPr>
        <w:pStyle w:val="FootnoteText"/>
        <w:rPr>
          <w:lang w:val="sv-SE"/>
        </w:rPr>
      </w:pPr>
      <w:r w:rsidRPr="00C828AC">
        <w:rPr>
          <w:rStyle w:val="FootnoteReference"/>
        </w:rPr>
        <w:footnoteRef/>
      </w:r>
      <w:r w:rsidRPr="00C828AC">
        <w:rPr>
          <w:sz w:val="24"/>
          <w:lang w:val="sv-SE" w:eastAsia="en-GB"/>
        </w:rPr>
        <w:t xml:space="preserve"> </w:t>
      </w:r>
      <w:r w:rsidRPr="00C828AC">
        <w:rPr>
          <w:sz w:val="24"/>
          <w:lang w:val="sv-SE" w:eastAsia="en-GB"/>
        </w:rPr>
        <w:tab/>
        <w:t>Denna ståndpunkt ersätter ändringarna antagna den 16 december 2025 (Antagna texter, P10_TA(2025)0315).</w:t>
      </w:r>
    </w:p>
  </w:footnote>
  <w:footnote w:id="2">
    <w:p w14:paraId="30E3F273" w14:textId="34E305A7" w:rsidR="001D1A16" w:rsidRPr="000F5EB9" w:rsidRDefault="001D1A16" w:rsidP="001D1A16">
      <w:pPr>
        <w:pStyle w:val="FootnoteText"/>
        <w:ind w:left="709" w:hanging="709"/>
        <w:rPr>
          <w:sz w:val="24"/>
          <w:szCs w:val="24"/>
          <w:lang w:val="sk-SK"/>
        </w:rPr>
      </w:pPr>
      <w:r w:rsidRPr="001D1A16">
        <w:rPr>
          <w:rStyle w:val="FootnoteReference"/>
          <w:sz w:val="24"/>
          <w:szCs w:val="24"/>
        </w:rPr>
        <w:footnoteRef/>
      </w:r>
      <w:r w:rsidRPr="001D1A16">
        <w:rPr>
          <w:sz w:val="24"/>
          <w:szCs w:val="24"/>
          <w:lang w:val="fi-FI"/>
        </w:rPr>
        <w:t xml:space="preserve"> </w:t>
      </w:r>
      <w:r w:rsidRPr="001D1A16">
        <w:rPr>
          <w:sz w:val="24"/>
          <w:szCs w:val="24"/>
          <w:lang w:val="sk-SK"/>
        </w:rPr>
        <w:tab/>
      </w:r>
      <w:r w:rsidRPr="001D1A16">
        <w:rPr>
          <w:sz w:val="24"/>
          <w:szCs w:val="24"/>
          <w:lang w:val="sk-SK"/>
        </w:rPr>
        <w:t>EUT</w:t>
      </w:r>
      <w:r w:rsidRPr="001D1A16">
        <w:rPr>
          <w:sz w:val="24"/>
          <w:szCs w:val="24"/>
          <w:lang w:val="sk-SK"/>
        </w:rPr>
        <w:t xml:space="preserve"> L, 2026/687, 19.3.2026, ELI: </w:t>
      </w:r>
      <w:hyperlink r:id="rId1" w:history="1">
        <w:r w:rsidRPr="001D1A16">
          <w:rPr>
            <w:rStyle w:val="Hyperlink"/>
            <w:szCs w:val="24"/>
            <w:lang w:val="sk-SK"/>
          </w:rPr>
          <w:t>http://data.europa.eu/eli/reg/2026/687/oj</w:t>
        </w:r>
      </w:hyperlink>
      <w:r w:rsidRPr="001D1A16">
        <w:rPr>
          <w:sz w:val="24"/>
          <w:szCs w:val="24"/>
          <w:lang w:val="sk-SK"/>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D85F4" w14:textId="77777777" w:rsidR="00E5346D" w:rsidRDefault="00E5346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88AA96" w14:textId="77777777" w:rsidR="00E5346D" w:rsidRDefault="00E5346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C4CFDD" w14:textId="77777777" w:rsidR="00E5346D" w:rsidRDefault="00E5346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E5A5721"/>
    <w:multiLevelType w:val="hybridMultilevel"/>
    <w:tmpl w:val="C480F63A"/>
    <w:lvl w:ilvl="0" w:tplc="543E3460">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32829619">
    <w:abstractNumId w:val="9"/>
  </w:num>
  <w:num w:numId="2" w16cid:durableId="549803221">
    <w:abstractNumId w:val="9"/>
  </w:num>
  <w:num w:numId="3" w16cid:durableId="2118522414">
    <w:abstractNumId w:val="7"/>
  </w:num>
  <w:num w:numId="4" w16cid:durableId="1517235505">
    <w:abstractNumId w:val="7"/>
  </w:num>
  <w:num w:numId="5" w16cid:durableId="1470325021">
    <w:abstractNumId w:val="6"/>
  </w:num>
  <w:num w:numId="6" w16cid:durableId="1941599122">
    <w:abstractNumId w:val="6"/>
  </w:num>
  <w:num w:numId="7" w16cid:durableId="937761246">
    <w:abstractNumId w:val="5"/>
  </w:num>
  <w:num w:numId="8" w16cid:durableId="1682929298">
    <w:abstractNumId w:val="5"/>
  </w:num>
  <w:num w:numId="9" w16cid:durableId="2019310178">
    <w:abstractNumId w:val="4"/>
  </w:num>
  <w:num w:numId="10" w16cid:durableId="2046177534">
    <w:abstractNumId w:val="4"/>
  </w:num>
  <w:num w:numId="11" w16cid:durableId="649867156">
    <w:abstractNumId w:val="8"/>
  </w:num>
  <w:num w:numId="12" w16cid:durableId="1262184697">
    <w:abstractNumId w:val="8"/>
  </w:num>
  <w:num w:numId="13" w16cid:durableId="640890605">
    <w:abstractNumId w:val="3"/>
  </w:num>
  <w:num w:numId="14" w16cid:durableId="743574508">
    <w:abstractNumId w:val="3"/>
  </w:num>
  <w:num w:numId="15" w16cid:durableId="1188450927">
    <w:abstractNumId w:val="2"/>
  </w:num>
  <w:num w:numId="16" w16cid:durableId="2035227247">
    <w:abstractNumId w:val="2"/>
  </w:num>
  <w:num w:numId="17" w16cid:durableId="354186744">
    <w:abstractNumId w:val="1"/>
  </w:num>
  <w:num w:numId="18" w16cid:durableId="1692610745">
    <w:abstractNumId w:val="1"/>
  </w:num>
  <w:num w:numId="19" w16cid:durableId="173345765">
    <w:abstractNumId w:val="0"/>
  </w:num>
  <w:num w:numId="20" w16cid:durableId="817459161">
    <w:abstractNumId w:val="0"/>
  </w:num>
  <w:num w:numId="21" w16cid:durableId="1854344484">
    <w:abstractNumId w:val="9"/>
  </w:num>
  <w:num w:numId="22" w16cid:durableId="75639588">
    <w:abstractNumId w:val="7"/>
  </w:num>
  <w:num w:numId="23" w16cid:durableId="273169189">
    <w:abstractNumId w:val="6"/>
  </w:num>
  <w:num w:numId="24" w16cid:durableId="1218862117">
    <w:abstractNumId w:val="5"/>
  </w:num>
  <w:num w:numId="25" w16cid:durableId="1497301188">
    <w:abstractNumId w:val="4"/>
  </w:num>
  <w:num w:numId="26" w16cid:durableId="1756898700">
    <w:abstractNumId w:val="8"/>
  </w:num>
  <w:num w:numId="27" w16cid:durableId="1940602402">
    <w:abstractNumId w:val="3"/>
  </w:num>
  <w:num w:numId="28" w16cid:durableId="285309103">
    <w:abstractNumId w:val="2"/>
  </w:num>
  <w:num w:numId="29" w16cid:durableId="979119403">
    <w:abstractNumId w:val="1"/>
  </w:num>
  <w:num w:numId="30" w16cid:durableId="1292975968">
    <w:abstractNumId w:val="0"/>
  </w:num>
  <w:num w:numId="31" w16cid:durableId="2073118625">
    <w:abstractNumId w:val="9"/>
  </w:num>
  <w:num w:numId="32" w16cid:durableId="1563760272">
    <w:abstractNumId w:val="7"/>
  </w:num>
  <w:num w:numId="33" w16cid:durableId="465240964">
    <w:abstractNumId w:val="6"/>
  </w:num>
  <w:num w:numId="34" w16cid:durableId="674768075">
    <w:abstractNumId w:val="5"/>
  </w:num>
  <w:num w:numId="35" w16cid:durableId="1227303747">
    <w:abstractNumId w:val="4"/>
  </w:num>
  <w:num w:numId="36" w16cid:durableId="794521240">
    <w:abstractNumId w:val="8"/>
  </w:num>
  <w:num w:numId="37" w16cid:durableId="180704522">
    <w:abstractNumId w:val="3"/>
  </w:num>
  <w:num w:numId="38" w16cid:durableId="244920514">
    <w:abstractNumId w:val="2"/>
  </w:num>
  <w:num w:numId="39" w16cid:durableId="928777353">
    <w:abstractNumId w:val="1"/>
  </w:num>
  <w:num w:numId="40" w16cid:durableId="242373440">
    <w:abstractNumId w:val="0"/>
  </w:num>
  <w:num w:numId="41" w16cid:durableId="180095949">
    <w:abstractNumId w:val="10"/>
  </w:num>
  <w:num w:numId="42" w16cid:durableId="906768250">
    <w:abstractNumId w:val="10"/>
  </w:num>
  <w:num w:numId="43" w16cid:durableId="1503666439">
    <w:abstractNumId w:val="10"/>
  </w:num>
  <w:num w:numId="44" w16cid:durableId="239993950">
    <w:abstractNumId w:val="12"/>
  </w:num>
  <w:num w:numId="45" w16cid:durableId="14667616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54/2025"/>
    <w:docVar w:name="dvlangue" w:val="SV"/>
    <w:docVar w:name="dvnumam" w:val="0"/>
    <w:docVar w:name="dvpe" w:val="779.615"/>
    <w:docVar w:name="dvrapporteur" w:val="Föredragande: "/>
    <w:docVar w:name="dvstar" w:val="***I"/>
    <w:docVar w:name="dvtitre" w:val="Europaparlamentets lagstiftningsresolution av den xx xx 2026 om förslaget till Europaparlamentets och rådets förordning om genomförande av den bilaterala skyddsklausulen i partnerskapsavtalet mellan EU och Mercosur och interimsavtalet om handel mellan EU och Mercosur vad gäller jordbruksprodukter(COM(2025)0639 – C10-0247/2025 – 2025/0322(COD))"/>
  </w:docVars>
  <w:rsids>
    <w:rsidRoot w:val="00EF6CD8"/>
    <w:rsid w:val="00002272"/>
    <w:rsid w:val="00032EF0"/>
    <w:rsid w:val="00064002"/>
    <w:rsid w:val="000677B9"/>
    <w:rsid w:val="00081F63"/>
    <w:rsid w:val="000831BA"/>
    <w:rsid w:val="000A42CC"/>
    <w:rsid w:val="000E4BBD"/>
    <w:rsid w:val="000E7DD9"/>
    <w:rsid w:val="0010095E"/>
    <w:rsid w:val="00125B37"/>
    <w:rsid w:val="00187494"/>
    <w:rsid w:val="001B4717"/>
    <w:rsid w:val="001D1A16"/>
    <w:rsid w:val="001F32AE"/>
    <w:rsid w:val="002767FF"/>
    <w:rsid w:val="002B18FE"/>
    <w:rsid w:val="002B5493"/>
    <w:rsid w:val="00310A57"/>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47AEE"/>
    <w:rsid w:val="00556147"/>
    <w:rsid w:val="00560270"/>
    <w:rsid w:val="005C2568"/>
    <w:rsid w:val="005F1B17"/>
    <w:rsid w:val="006037C0"/>
    <w:rsid w:val="006631B6"/>
    <w:rsid w:val="00680577"/>
    <w:rsid w:val="006F74FA"/>
    <w:rsid w:val="00731ADD"/>
    <w:rsid w:val="00734777"/>
    <w:rsid w:val="007420F2"/>
    <w:rsid w:val="00747932"/>
    <w:rsid w:val="00751A4A"/>
    <w:rsid w:val="00756632"/>
    <w:rsid w:val="00762C74"/>
    <w:rsid w:val="00786EC0"/>
    <w:rsid w:val="007D1690"/>
    <w:rsid w:val="007E22AD"/>
    <w:rsid w:val="00802FA0"/>
    <w:rsid w:val="00817416"/>
    <w:rsid w:val="00842779"/>
    <w:rsid w:val="00865F67"/>
    <w:rsid w:val="00881A7B"/>
    <w:rsid w:val="008840E5"/>
    <w:rsid w:val="00887B3E"/>
    <w:rsid w:val="008B45C8"/>
    <w:rsid w:val="008C2AC6"/>
    <w:rsid w:val="00930C23"/>
    <w:rsid w:val="0093193B"/>
    <w:rsid w:val="009509D8"/>
    <w:rsid w:val="00950B64"/>
    <w:rsid w:val="00981893"/>
    <w:rsid w:val="009D1364"/>
    <w:rsid w:val="00A1687D"/>
    <w:rsid w:val="00A43E52"/>
    <w:rsid w:val="00A4678D"/>
    <w:rsid w:val="00A778C7"/>
    <w:rsid w:val="00AB441E"/>
    <w:rsid w:val="00AB6293"/>
    <w:rsid w:val="00AE0928"/>
    <w:rsid w:val="00AF3B82"/>
    <w:rsid w:val="00B12E95"/>
    <w:rsid w:val="00B22876"/>
    <w:rsid w:val="00B558F0"/>
    <w:rsid w:val="00B73240"/>
    <w:rsid w:val="00BD48FE"/>
    <w:rsid w:val="00BD7BD8"/>
    <w:rsid w:val="00BE6ADC"/>
    <w:rsid w:val="00C03CE2"/>
    <w:rsid w:val="00C05BFE"/>
    <w:rsid w:val="00C23CD4"/>
    <w:rsid w:val="00C61C0C"/>
    <w:rsid w:val="00C828AC"/>
    <w:rsid w:val="00C941CB"/>
    <w:rsid w:val="00CA2FFC"/>
    <w:rsid w:val="00CC2357"/>
    <w:rsid w:val="00CF071A"/>
    <w:rsid w:val="00D058B8"/>
    <w:rsid w:val="00D56C11"/>
    <w:rsid w:val="00D834A0"/>
    <w:rsid w:val="00D872DF"/>
    <w:rsid w:val="00D91E21"/>
    <w:rsid w:val="00DA7FCD"/>
    <w:rsid w:val="00E365E1"/>
    <w:rsid w:val="00E5346D"/>
    <w:rsid w:val="00E820A4"/>
    <w:rsid w:val="00EB006A"/>
    <w:rsid w:val="00EB4772"/>
    <w:rsid w:val="00ED169E"/>
    <w:rsid w:val="00ED4235"/>
    <w:rsid w:val="00EF6CD8"/>
    <w:rsid w:val="00F04346"/>
    <w:rsid w:val="00F0613A"/>
    <w:rsid w:val="00F075DC"/>
    <w:rsid w:val="00F149E9"/>
    <w:rsid w:val="00F5134D"/>
    <w:rsid w:val="00F74202"/>
    <w:rsid w:val="00F87713"/>
    <w:rsid w:val="00FB4360"/>
    <w:rsid w:val="00FD0C70"/>
    <w:rsid w:val="00FF73D1"/>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EC182CF"/>
  <w15:chartTrackingRefBased/>
  <w15:docId w15:val="{7BEBB421-7EDE-4366-802C-BFA8598370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v-SE"/>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6a">
    <w:name w:val="Normal6a"/>
    <w:basedOn w:val="Normal"/>
    <w:rsid w:val="00556147"/>
    <w:pPr>
      <w:spacing w:after="120"/>
    </w:pPr>
  </w:style>
  <w:style w:type="paragraph" w:customStyle="1" w:styleId="PageHeading">
    <w:name w:val="PageHeading"/>
    <w:basedOn w:val="Normal"/>
    <w:link w:val="PageHeadingChar"/>
    <w:rsid w:val="00556147"/>
    <w:pPr>
      <w:keepNext/>
      <w:spacing w:after="480"/>
      <w:jc w:val="center"/>
    </w:pPr>
    <w:rPr>
      <w:rFonts w:ascii="Arial" w:hAnsi="Arial" w:cs="Arial"/>
      <w:b/>
    </w:rPr>
  </w:style>
  <w:style w:type="paragraph" w:customStyle="1" w:styleId="NormalBold">
    <w:name w:val="NormalBold"/>
    <w:basedOn w:val="Normal"/>
    <w:link w:val="NormalBoldChar"/>
    <w:rsid w:val="00556147"/>
    <w:rPr>
      <w:b/>
    </w:rPr>
  </w:style>
  <w:style w:type="paragraph" w:customStyle="1" w:styleId="NormalBold12a">
    <w:name w:val="NormalBold12a"/>
    <w:basedOn w:val="Normal"/>
    <w:rsid w:val="00556147"/>
    <w:pPr>
      <w:spacing w:after="240"/>
    </w:pPr>
    <w:rPr>
      <w:b/>
    </w:rPr>
  </w:style>
  <w:style w:type="paragraph" w:customStyle="1" w:styleId="NormalHanging12a">
    <w:name w:val="NormalHanging12a"/>
    <w:basedOn w:val="Normal"/>
    <w:rsid w:val="00556147"/>
    <w:pPr>
      <w:spacing w:after="240"/>
      <w:ind w:left="567" w:hanging="567"/>
    </w:pPr>
  </w:style>
  <w:style w:type="paragraph" w:customStyle="1" w:styleId="AmColumnHeading">
    <w:name w:val="AmColumnHeading"/>
    <w:basedOn w:val="Normal"/>
    <w:rsid w:val="00556147"/>
    <w:pPr>
      <w:spacing w:after="240"/>
      <w:jc w:val="center"/>
    </w:pPr>
    <w:rPr>
      <w:i/>
    </w:rPr>
  </w:style>
  <w:style w:type="paragraph" w:customStyle="1" w:styleId="AmNumberTabs">
    <w:name w:val="AmNumberTabs"/>
    <w:basedOn w:val="Normal"/>
    <w:rsid w:val="0055614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556147"/>
    <w:pPr>
      <w:spacing w:before="240"/>
    </w:pPr>
    <w:rPr>
      <w:b/>
    </w:rPr>
  </w:style>
  <w:style w:type="paragraph" w:customStyle="1" w:styleId="EPComma">
    <w:name w:val="EPComma"/>
    <w:basedOn w:val="Normal"/>
    <w:rsid w:val="00556147"/>
    <w:pPr>
      <w:spacing w:before="480" w:after="240"/>
    </w:pPr>
  </w:style>
  <w:style w:type="character" w:customStyle="1" w:styleId="NormalBoldChar">
    <w:name w:val="NormalBold Char"/>
    <w:basedOn w:val="DefaultParagraphFont"/>
    <w:link w:val="NormalBold"/>
    <w:locked/>
    <w:rsid w:val="00556147"/>
    <w:rPr>
      <w:b/>
      <w:sz w:val="24"/>
      <w:lang w:val="sv-SE"/>
    </w:rPr>
  </w:style>
  <w:style w:type="character" w:customStyle="1" w:styleId="PageHeadingChar">
    <w:name w:val="PageHeading Char"/>
    <w:basedOn w:val="DefaultParagraphFont"/>
    <w:link w:val="PageHeading"/>
    <w:rsid w:val="00556147"/>
    <w:rPr>
      <w:rFonts w:ascii="Arial" w:hAnsi="Arial" w:cs="Arial"/>
      <w:b/>
      <w:sz w:val="24"/>
      <w:lang w:val="sv-SE"/>
    </w:rPr>
  </w:style>
  <w:style w:type="paragraph" w:styleId="Revision">
    <w:name w:val="Revision"/>
    <w:hidden/>
    <w:uiPriority w:val="99"/>
    <w:semiHidden/>
    <w:rsid w:val="00FF73D1"/>
    <w:rPr>
      <w:sz w:val="24"/>
      <w:lang w:val="sv-SE"/>
    </w:rPr>
  </w:style>
  <w:style w:type="paragraph" w:styleId="Header">
    <w:name w:val="header"/>
    <w:basedOn w:val="Normal"/>
    <w:link w:val="HeaderChar"/>
    <w:rsid w:val="00FF73D1"/>
    <w:pPr>
      <w:tabs>
        <w:tab w:val="center" w:pos="4513"/>
        <w:tab w:val="right" w:pos="9026"/>
      </w:tabs>
    </w:pPr>
  </w:style>
  <w:style w:type="character" w:customStyle="1" w:styleId="HeaderChar">
    <w:name w:val="Header Char"/>
    <w:basedOn w:val="DefaultParagraphFont"/>
    <w:link w:val="Header"/>
    <w:rsid w:val="00FF73D1"/>
    <w:rPr>
      <w:sz w:val="24"/>
      <w:lang w:val="sv-SE"/>
    </w:rPr>
  </w:style>
  <w:style w:type="paragraph" w:customStyle="1" w:styleId="EPFooter2">
    <w:name w:val="EPFooter2"/>
    <w:basedOn w:val="Normal"/>
    <w:next w:val="Normal"/>
    <w:rsid w:val="00FF73D1"/>
    <w:pPr>
      <w:widowControl/>
      <w:tabs>
        <w:tab w:val="center" w:pos="4535"/>
        <w:tab w:val="right" w:pos="9921"/>
      </w:tabs>
      <w:ind w:left="-850" w:right="-850"/>
    </w:pPr>
    <w:rPr>
      <w:rFonts w:ascii="Arial" w:hAnsi="Arial" w:cs="Arial"/>
      <w:b/>
      <w:sz w:val="48"/>
    </w:rPr>
  </w:style>
  <w:style w:type="paragraph" w:styleId="Footer">
    <w:name w:val="footer"/>
    <w:basedOn w:val="Normal"/>
    <w:link w:val="FooterChar"/>
    <w:rsid w:val="00FF73D1"/>
    <w:pPr>
      <w:tabs>
        <w:tab w:val="center" w:pos="4513"/>
        <w:tab w:val="right" w:pos="9026"/>
      </w:tabs>
    </w:pPr>
  </w:style>
  <w:style w:type="character" w:customStyle="1" w:styleId="FooterChar">
    <w:name w:val="Footer Char"/>
    <w:basedOn w:val="DefaultParagraphFont"/>
    <w:link w:val="Footer"/>
    <w:rsid w:val="00FF73D1"/>
    <w:rPr>
      <w:sz w:val="24"/>
      <w:lang w:val="sv-SE"/>
    </w:rPr>
  </w:style>
  <w:style w:type="character" w:styleId="Hyperlink">
    <w:name w:val="Hyperlink"/>
    <w:uiPriority w:val="99"/>
    <w:rsid w:val="00FF73D1"/>
    <w:rPr>
      <w:rFonts w:ascii="Times New Roman" w:hAnsi="Times New Roman"/>
      <w:color w:val="0000FF"/>
      <w:sz w:val="24"/>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reg/2026/68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814</Words>
  <Characters>5673</Characters>
  <Application>Microsoft Office Word</Application>
  <DocSecurity>0</DocSecurity>
  <Lines>47</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6475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ANDERSSON Terese</dc:creator>
  <cp:keywords/>
  <cp:lastModifiedBy>HODNE Catherine</cp:lastModifiedBy>
  <cp:revision>2</cp:revision>
  <cp:lastPrinted>2004-11-19T15:42:00Z</cp:lastPrinted>
  <dcterms:created xsi:type="dcterms:W3CDTF">2026-04-14T10:03:00Z</dcterms:created>
  <dcterms:modified xsi:type="dcterms:W3CDTF">2026-04-14T10:03:00Z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SV</vt:lpwstr>
  </property>
  <property fmtid="{D5CDD505-2E9C-101B-9397-08002B2CF9AE}" pid="3" name="&lt;FdR&gt;">
    <vt:lpwstr>P10_TA(2026)0030_</vt:lpwstr>
  </property>
  <property fmtid="{D5CDD505-2E9C-101B-9397-08002B2CF9AE}" pid="4" name="&lt;Type&gt;">
    <vt:lpwstr>RR</vt:lpwstr>
  </property>
</Properties>
</file>