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16401" w14:paraId="1AA408B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FD79EA3" w14:textId="77777777" w:rsidR="00751A4A" w:rsidRPr="00F16401" w:rsidRDefault="00863E71" w:rsidP="0010095E">
            <w:pPr>
              <w:pStyle w:val="EPName"/>
            </w:pPr>
            <w:r w:rsidRPr="00F16401">
              <w:t>Evropský parlament</w:t>
            </w:r>
          </w:p>
          <w:p w14:paraId="2DED9E12" w14:textId="77777777" w:rsidR="00751A4A" w:rsidRPr="00F1640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16401">
              <w:t>2024</w:t>
            </w:r>
            <w:r w:rsidR="00817416" w:rsidRPr="00F16401">
              <w:t>-202</w:t>
            </w:r>
            <w:r w:rsidRPr="00F16401">
              <w:t>9</w:t>
            </w:r>
          </w:p>
        </w:tc>
        <w:tc>
          <w:tcPr>
            <w:tcW w:w="2268" w:type="dxa"/>
            <w:shd w:val="clear" w:color="auto" w:fill="auto"/>
          </w:tcPr>
          <w:p w14:paraId="0FD5DDA0" w14:textId="77777777" w:rsidR="00751A4A" w:rsidRPr="00F16401" w:rsidRDefault="00187494" w:rsidP="0010095E">
            <w:pPr>
              <w:pStyle w:val="EPLogo"/>
            </w:pPr>
            <w:r w:rsidRPr="00F16401">
              <w:rPr>
                <w:noProof/>
                <w:lang w:eastAsia="ja-JP"/>
              </w:rPr>
              <w:drawing>
                <wp:inline distT="0" distB="0" distL="0" distR="0" wp14:anchorId="5B1278CE" wp14:editId="6EB1573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EFE453" w14:textId="77777777" w:rsidR="00D058B8" w:rsidRPr="00F16401" w:rsidRDefault="00D058B8" w:rsidP="004C5D52">
      <w:pPr>
        <w:pStyle w:val="LineTop"/>
      </w:pPr>
    </w:p>
    <w:p w14:paraId="0B16F755" w14:textId="77777777" w:rsidR="00680577" w:rsidRPr="00F16401" w:rsidRDefault="00863E71" w:rsidP="00680577">
      <w:pPr>
        <w:pStyle w:val="EPBodyTA1"/>
      </w:pPr>
      <w:r w:rsidRPr="00F16401">
        <w:t>PŘIJATÉ TEXTY</w:t>
      </w:r>
    </w:p>
    <w:p w14:paraId="0B1B2DAE" w14:textId="77777777" w:rsidR="00D058B8" w:rsidRPr="00F16401" w:rsidRDefault="00D058B8" w:rsidP="00D058B8">
      <w:pPr>
        <w:pStyle w:val="LineBottom"/>
      </w:pPr>
    </w:p>
    <w:p w14:paraId="2CB42FB9" w14:textId="7F58790F" w:rsidR="00863E71" w:rsidRPr="003A6D0A" w:rsidRDefault="00863E71" w:rsidP="00863E71">
      <w:pPr>
        <w:pStyle w:val="ATHeading1"/>
      </w:pPr>
      <w:bookmarkStart w:id="0" w:name="TANumber"/>
      <w:r w:rsidRPr="003A6D0A">
        <w:t>P10_</w:t>
      </w:r>
      <w:proofErr w:type="gramStart"/>
      <w:r w:rsidRPr="003A6D0A">
        <w:t>TA(</w:t>
      </w:r>
      <w:proofErr w:type="gramEnd"/>
      <w:r w:rsidRPr="003A6D0A">
        <w:t>202</w:t>
      </w:r>
      <w:r w:rsidR="00AA67BF" w:rsidRPr="003A6D0A">
        <w:t>6</w:t>
      </w:r>
      <w:r w:rsidRPr="003A6D0A">
        <w:t>)00</w:t>
      </w:r>
      <w:r w:rsidR="00D4203F">
        <w:t>31</w:t>
      </w:r>
      <w:bookmarkEnd w:id="0"/>
    </w:p>
    <w:p w14:paraId="179798F0" w14:textId="5160B431" w:rsidR="00863E71" w:rsidRPr="003A6D0A" w:rsidRDefault="005867AE" w:rsidP="00863E71">
      <w:pPr>
        <w:pStyle w:val="ATHeading2"/>
      </w:pPr>
      <w:r w:rsidRPr="003A6D0A">
        <w:t>Rámec pro dosažení klimatické neutrality</w:t>
      </w:r>
    </w:p>
    <w:p w14:paraId="2DD2E2AA" w14:textId="5D576E9F" w:rsidR="00863E71" w:rsidRPr="003A6D0A" w:rsidRDefault="00863E71" w:rsidP="00863E71">
      <w:pPr>
        <w:rPr>
          <w:iCs/>
          <w:vanish/>
        </w:rPr>
      </w:pPr>
      <w:r w:rsidRPr="003A6D0A">
        <w:rPr>
          <w:iCs/>
        </w:rPr>
        <w:fldChar w:fldCharType="begin"/>
      </w:r>
      <w:r w:rsidRPr="003A6D0A">
        <w:rPr>
          <w:iCs/>
        </w:rPr>
        <w:instrText xml:space="preserve"> TC"(</w:instrText>
      </w:r>
      <w:bookmarkStart w:id="1" w:name="DocNumber"/>
      <w:r w:rsidRPr="003A6D0A">
        <w:rPr>
          <w:iCs/>
        </w:rPr>
        <w:instrText>A10-0223/2025</w:instrText>
      </w:r>
      <w:bookmarkEnd w:id="1"/>
      <w:r w:rsidRPr="003A6D0A">
        <w:rPr>
          <w:iCs/>
        </w:rPr>
        <w:instrText xml:space="preserve"> - Zpravodaj: Ondřej Knotek)"\l3 \n&gt; \* MERGEFORMAT </w:instrText>
      </w:r>
      <w:r w:rsidRPr="003A6D0A">
        <w:rPr>
          <w:iCs/>
        </w:rPr>
        <w:fldChar w:fldCharType="end"/>
      </w:r>
    </w:p>
    <w:p w14:paraId="0E4E656F" w14:textId="77777777" w:rsidR="00863E71" w:rsidRPr="005E01F5" w:rsidRDefault="00863E71" w:rsidP="00863E71">
      <w:pPr>
        <w:rPr>
          <w:iCs/>
          <w:vanish/>
        </w:rPr>
      </w:pPr>
      <w:bookmarkStart w:id="2" w:name="Commission"/>
      <w:r w:rsidRPr="005E01F5">
        <w:rPr>
          <w:iCs/>
          <w:vanish/>
        </w:rPr>
        <w:t>Výbor pro životní prostředí, klima a bezpečnost potravin</w:t>
      </w:r>
      <w:bookmarkEnd w:id="2"/>
    </w:p>
    <w:p w14:paraId="70960659" w14:textId="77777777" w:rsidR="00863E71" w:rsidRPr="005E01F5" w:rsidRDefault="00863E71" w:rsidP="00863E71">
      <w:pPr>
        <w:rPr>
          <w:iCs/>
          <w:vanish/>
        </w:rPr>
      </w:pPr>
      <w:bookmarkStart w:id="3" w:name="PE"/>
      <w:r w:rsidRPr="005E01F5">
        <w:rPr>
          <w:iCs/>
          <w:vanish/>
        </w:rPr>
        <w:t>PE775.698</w:t>
      </w:r>
      <w:bookmarkEnd w:id="3"/>
    </w:p>
    <w:p w14:paraId="467E78EC" w14:textId="56F0A67C" w:rsidR="00863E71" w:rsidRPr="003A6D0A" w:rsidRDefault="005E01F5" w:rsidP="005E01F5">
      <w:pPr>
        <w:pStyle w:val="ATHeading3"/>
      </w:pPr>
      <w:bookmarkStart w:id="4" w:name="Sujet"/>
      <w:r w:rsidRPr="003A6D0A">
        <w:t xml:space="preserve">Legislativní usnesení </w:t>
      </w:r>
      <w:r w:rsidR="00A46EF4" w:rsidRPr="003A6D0A">
        <w:t>Evropsk</w:t>
      </w:r>
      <w:r w:rsidR="00293C76" w:rsidRPr="003A6D0A">
        <w:t>ého</w:t>
      </w:r>
      <w:r w:rsidR="00A46EF4" w:rsidRPr="003A6D0A">
        <w:t xml:space="preserve"> parlament</w:t>
      </w:r>
      <w:r w:rsidR="00293C76" w:rsidRPr="003A6D0A">
        <w:t xml:space="preserve">u ze </w:t>
      </w:r>
      <w:r w:rsidR="00A46EF4" w:rsidRPr="003A6D0A">
        <w:t xml:space="preserve">dne </w:t>
      </w:r>
      <w:r w:rsidR="005867AE" w:rsidRPr="003A6D0A">
        <w:t>1</w:t>
      </w:r>
      <w:r w:rsidR="00CD29B5" w:rsidRPr="003A6D0A">
        <w:t>0</w:t>
      </w:r>
      <w:r w:rsidR="005867AE" w:rsidRPr="003A6D0A">
        <w:t xml:space="preserve">. </w:t>
      </w:r>
      <w:r w:rsidR="00CD29B5" w:rsidRPr="003A6D0A">
        <w:t>února</w:t>
      </w:r>
      <w:r w:rsidR="00863E71" w:rsidRPr="003A6D0A">
        <w:t xml:space="preserve"> 202</w:t>
      </w:r>
      <w:r w:rsidR="00CD29B5" w:rsidRPr="003A6D0A">
        <w:t>6</w:t>
      </w:r>
      <w:r w:rsidR="00863E71" w:rsidRPr="003A6D0A">
        <w:t xml:space="preserve"> </w:t>
      </w:r>
      <w:r w:rsidR="00293C76" w:rsidRPr="003A6D0A">
        <w:t>o</w:t>
      </w:r>
      <w:r w:rsidR="00863E71" w:rsidRPr="003A6D0A">
        <w:t> návrhu nařízení Evropského parlamentu a Rady, kterým se mění nařízení (EU) 2021/1119, kterým se stanoví rámec pro dosažení klimatické neutrality</w:t>
      </w:r>
      <w:bookmarkEnd w:id="4"/>
      <w:r w:rsidR="00863E71" w:rsidRPr="003A6D0A">
        <w:t xml:space="preserve"> </w:t>
      </w:r>
      <w:bookmarkStart w:id="5" w:name="References"/>
      <w:r w:rsidR="00863E71" w:rsidRPr="003A6D0A">
        <w:t>(</w:t>
      </w:r>
      <w:proofErr w:type="gramStart"/>
      <w:r w:rsidR="00863E71" w:rsidRPr="003A6D0A">
        <w:t>COM(</w:t>
      </w:r>
      <w:proofErr w:type="gramEnd"/>
      <w:r w:rsidR="00863E71" w:rsidRPr="003A6D0A">
        <w:t>2025)0524 – C10-0137/2025 – 2025/0524(COD))</w:t>
      </w:r>
      <w:bookmarkEnd w:id="5"/>
    </w:p>
    <w:p w14:paraId="7CF1C17C" w14:textId="77777777" w:rsidR="00863E71" w:rsidRPr="003A6D0A" w:rsidRDefault="00863E71" w:rsidP="00863E71">
      <w:pPr>
        <w:rPr>
          <w:b/>
          <w:bCs/>
          <w:iCs/>
        </w:rPr>
      </w:pPr>
    </w:p>
    <w:p w14:paraId="5B91EDE7" w14:textId="77777777" w:rsidR="00391D9A" w:rsidRPr="005E01F5" w:rsidRDefault="00391D9A" w:rsidP="00391D9A">
      <w:pPr>
        <w:pStyle w:val="NormalBold"/>
      </w:pPr>
      <w:bookmarkStart w:id="6" w:name="TextBodyBegin"/>
      <w:bookmarkEnd w:id="6"/>
      <w:r w:rsidRPr="005E01F5">
        <w:t>(Řádný legislativní postup: první čtení)</w:t>
      </w:r>
    </w:p>
    <w:p w14:paraId="08608C91" w14:textId="79ED2790" w:rsidR="00391D9A" w:rsidRPr="00F16401" w:rsidRDefault="00391D9A" w:rsidP="00391D9A">
      <w:pPr>
        <w:pStyle w:val="EPComma"/>
      </w:pPr>
      <w:r w:rsidRPr="005E01F5">
        <w:rPr>
          <w:i/>
          <w:iCs/>
        </w:rPr>
        <w:t>Evropský parlament</w:t>
      </w:r>
      <w:r w:rsidRPr="005E01F5">
        <w:t>,</w:t>
      </w:r>
    </w:p>
    <w:p w14:paraId="7AFD3B63" w14:textId="00DB1165" w:rsidR="00391D9A" w:rsidRPr="00F16401" w:rsidRDefault="00391D9A" w:rsidP="00391D9A">
      <w:pPr>
        <w:pStyle w:val="NormalHanging12a"/>
      </w:pPr>
      <w:r w:rsidRPr="00F16401">
        <w:t>–</w:t>
      </w:r>
      <w:r w:rsidRPr="00F16401">
        <w:tab/>
        <w:t>s ohledem na návrh Komise předložený Evropskému parlamentu a Radě (</w:t>
      </w:r>
      <w:proofErr w:type="gramStart"/>
      <w:r w:rsidRPr="00F16401">
        <w:t>COM(</w:t>
      </w:r>
      <w:proofErr w:type="gramEnd"/>
      <w:r w:rsidRPr="00F16401">
        <w:t>2025)0524),</w:t>
      </w:r>
    </w:p>
    <w:p w14:paraId="5FDC4551" w14:textId="13004363" w:rsidR="00391D9A" w:rsidRPr="00F16401" w:rsidRDefault="00391D9A" w:rsidP="00391D9A">
      <w:pPr>
        <w:pStyle w:val="NormalHanging12a"/>
      </w:pPr>
      <w:r w:rsidRPr="00F16401">
        <w:t>–</w:t>
      </w:r>
      <w:r w:rsidRPr="00F16401">
        <w:tab/>
        <w:t>s ohledem na čl. 294 odst. 2 a čl. 192 odst. 1 Smlouvy o fungování Evropské unie, v </w:t>
      </w:r>
      <w:proofErr w:type="gramStart"/>
      <w:r w:rsidRPr="00F16401">
        <w:t>souladu</w:t>
      </w:r>
      <w:proofErr w:type="gramEnd"/>
      <w:r w:rsidRPr="00F16401">
        <w:t xml:space="preserve"> </w:t>
      </w:r>
      <w:r w:rsidR="005867AE">
        <w:t>se kterými</w:t>
      </w:r>
      <w:r w:rsidRPr="00F16401">
        <w:t xml:space="preserve"> Komise předložila svůj návrh Parlamentu (C10-0137/2025),</w:t>
      </w:r>
    </w:p>
    <w:p w14:paraId="205C141D" w14:textId="2356E9C7" w:rsidR="00391D9A" w:rsidRPr="00F16401" w:rsidRDefault="00391D9A" w:rsidP="00391D9A">
      <w:pPr>
        <w:pStyle w:val="NormalHanging12a"/>
      </w:pPr>
      <w:r w:rsidRPr="00F16401">
        <w:t>–</w:t>
      </w:r>
      <w:r w:rsidRPr="00F16401">
        <w:tab/>
        <w:t>s ohledem na čl. 294 odst. 3 Smlouvy o fungování Evropské unie,</w:t>
      </w:r>
    </w:p>
    <w:p w14:paraId="077C4E4B" w14:textId="5F176E2A" w:rsidR="00391D9A" w:rsidRPr="00F16401" w:rsidRDefault="00391D9A" w:rsidP="00391D9A">
      <w:pPr>
        <w:pStyle w:val="EPComma"/>
        <w:spacing w:before="0"/>
        <w:ind w:left="567" w:hanging="567"/>
      </w:pPr>
      <w:r w:rsidRPr="00F16401">
        <w:t>–</w:t>
      </w:r>
      <w:r w:rsidRPr="00F16401">
        <w:tab/>
        <w:t xml:space="preserve">s ohledem na odůvodněné stanovisko předložené italským </w:t>
      </w:r>
      <w:r w:rsidR="0007425D">
        <w:t>S</w:t>
      </w:r>
      <w:r w:rsidRPr="00F16401">
        <w:t>enátem v rámci protokolu č. 2 o používání zásad subsidiarity a proporcionality a uvádějící, že návrh legislativního aktu není v souladu se zásadou subsidiarity,</w:t>
      </w:r>
    </w:p>
    <w:p w14:paraId="46D437BC" w14:textId="6E611A92" w:rsidR="00391D9A" w:rsidRPr="00F16401" w:rsidRDefault="00391D9A" w:rsidP="00391D9A">
      <w:pPr>
        <w:pStyle w:val="NormalHanging12a"/>
      </w:pPr>
      <w:r w:rsidRPr="00F16401">
        <w:t>–</w:t>
      </w:r>
      <w:r w:rsidRPr="00F16401">
        <w:tab/>
        <w:t>s ohledem na stanovisko Evropského hospodářského a sociálního výboru ze dne 18. září 2025</w:t>
      </w:r>
      <w:r w:rsidRPr="00F16401">
        <w:rPr>
          <w:rStyle w:val="FootnoteReference"/>
        </w:rPr>
        <w:footnoteReference w:id="1"/>
      </w:r>
      <w:r w:rsidRPr="00F16401">
        <w:t>,</w:t>
      </w:r>
    </w:p>
    <w:p w14:paraId="566B12BE" w14:textId="6291DA8C" w:rsidR="00391D9A" w:rsidRDefault="00391D9A" w:rsidP="00391D9A">
      <w:pPr>
        <w:pStyle w:val="NormalHanging12a"/>
      </w:pPr>
      <w:r w:rsidRPr="00F16401">
        <w:t>–</w:t>
      </w:r>
      <w:r w:rsidRPr="00F16401">
        <w:tab/>
        <w:t>po konzultaci s Výborem regionů,</w:t>
      </w:r>
    </w:p>
    <w:p w14:paraId="14DDA551" w14:textId="3DB896BF" w:rsidR="00857DF5" w:rsidRPr="00F16401" w:rsidRDefault="00857DF5" w:rsidP="003A6D0A">
      <w:pPr>
        <w:pStyle w:val="NormalHanging12a"/>
        <w:numPr>
          <w:ilvl w:val="0"/>
          <w:numId w:val="46"/>
        </w:numPr>
        <w:ind w:left="567" w:hanging="567"/>
      </w:pPr>
      <w:r w:rsidRPr="00D60236">
        <w:t xml:space="preserve">s ohledem na předběžnou dohodu přijatou příslušným výborem podle čl. 75 odst. 4 jednacího řádu a s ohledem na to, že se zástupce Rady dopisem ze dne </w:t>
      </w:r>
      <w:r>
        <w:t>19</w:t>
      </w:r>
      <w:r w:rsidRPr="00D60236">
        <w:t xml:space="preserve">. </w:t>
      </w:r>
      <w:r>
        <w:t>prosince</w:t>
      </w:r>
      <w:r w:rsidRPr="00D60236">
        <w:t xml:space="preserve"> 2025 zavázal schválit postoj Parlamentu v souladu s čl. 294 odst. 4 Smlouvy o</w:t>
      </w:r>
      <w:r w:rsidRPr="00F6175C">
        <w:t> </w:t>
      </w:r>
      <w:r w:rsidRPr="00D60236">
        <w:t>fungování Evropské unie,</w:t>
      </w:r>
    </w:p>
    <w:p w14:paraId="64BAEEFE" w14:textId="6C601819" w:rsidR="00391D9A" w:rsidRPr="00F16401" w:rsidRDefault="00391D9A" w:rsidP="00391D9A">
      <w:pPr>
        <w:pStyle w:val="NormalHanging12a"/>
      </w:pPr>
      <w:r w:rsidRPr="00F16401">
        <w:lastRenderedPageBreak/>
        <w:t>–</w:t>
      </w:r>
      <w:r w:rsidRPr="00F16401">
        <w:tab/>
        <w:t>s ohledem na článek 60 jednacího řádu,</w:t>
      </w:r>
    </w:p>
    <w:p w14:paraId="726F7CA8" w14:textId="0072F1A0" w:rsidR="00391D9A" w:rsidRPr="00F16401" w:rsidRDefault="00391D9A" w:rsidP="00391D9A">
      <w:pPr>
        <w:pStyle w:val="NormalHanging12a"/>
      </w:pPr>
      <w:r w:rsidRPr="00F16401">
        <w:rPr>
          <w:rFonts w:ascii="Symbol" w:hAnsi="Symbol"/>
        </w:rPr>
        <w:sym w:font="Symbol" w:char="F02D"/>
      </w:r>
      <w:r w:rsidRPr="00F16401">
        <w:rPr>
          <w:rFonts w:ascii="Symbol" w:hAnsi="Symbol"/>
        </w:rPr>
        <w:tab/>
      </w:r>
      <w:r w:rsidRPr="00F16401">
        <w:t>s ohledem na stanovisko Výboru pro průmysl, výzkum a energetiku,</w:t>
      </w:r>
    </w:p>
    <w:p w14:paraId="3A0E38EF" w14:textId="6E4B37E0" w:rsidR="00391D9A" w:rsidRPr="00F16401" w:rsidRDefault="00391D9A" w:rsidP="00391D9A">
      <w:pPr>
        <w:pStyle w:val="NormalHanging12a"/>
      </w:pPr>
      <w:r w:rsidRPr="00F16401">
        <w:t>–</w:t>
      </w:r>
      <w:r w:rsidRPr="00F16401">
        <w:tab/>
        <w:t>s ohledem na dopis Výboru pro zemědělství a rozvoj venkova,</w:t>
      </w:r>
    </w:p>
    <w:p w14:paraId="4EAB050F" w14:textId="0B5FDC6B" w:rsidR="00391D9A" w:rsidRPr="00F16401" w:rsidRDefault="00391D9A" w:rsidP="00391D9A">
      <w:pPr>
        <w:pStyle w:val="NormalHanging12a"/>
      </w:pPr>
      <w:r w:rsidRPr="00F16401">
        <w:t>–</w:t>
      </w:r>
      <w:r w:rsidRPr="00F16401">
        <w:tab/>
        <w:t>s ohledem na zprávu Výboru pro životní prostředí, klima a bezpečnost potravin (A10-0223/2025),</w:t>
      </w:r>
    </w:p>
    <w:p w14:paraId="11EE014B" w14:textId="7174517E" w:rsidR="00391D9A" w:rsidRPr="00F16401" w:rsidRDefault="00391D9A" w:rsidP="00391D9A">
      <w:pPr>
        <w:pStyle w:val="NormalHanging12a"/>
      </w:pPr>
      <w:r w:rsidRPr="00A078B0">
        <w:t>1.</w:t>
      </w:r>
      <w:r w:rsidRPr="00A078B0">
        <w:tab/>
        <w:t>přijímá níže uvedený postoj v prvním čtení</w:t>
      </w:r>
      <w:r w:rsidR="00A078B0" w:rsidRPr="003A6D0A">
        <w:rPr>
          <w:rStyle w:val="FootnoteReference"/>
        </w:rPr>
        <w:footnoteReference w:id="2"/>
      </w:r>
      <w:r w:rsidRPr="00A078B0">
        <w:t>;</w:t>
      </w:r>
    </w:p>
    <w:p w14:paraId="72B462D9" w14:textId="182804C0" w:rsidR="00391D9A" w:rsidRPr="00F16401" w:rsidRDefault="00391D9A" w:rsidP="00391D9A">
      <w:pPr>
        <w:pStyle w:val="NormalHanging12a"/>
      </w:pPr>
      <w:r w:rsidRPr="00F16401">
        <w:t>2.</w:t>
      </w:r>
      <w:r w:rsidRPr="00F16401">
        <w:tab/>
        <w:t>vyzývá Komisi, aby věc znovu postoupila Parlamentu, jestliže svůj návrh nahradí jiným textem, podstatně jej změní nebo má v úmyslu jej podstatně změnit;</w:t>
      </w:r>
    </w:p>
    <w:p w14:paraId="2597EF16" w14:textId="77777777" w:rsidR="00566012" w:rsidRDefault="00391D9A" w:rsidP="00566012">
      <w:pPr>
        <w:pStyle w:val="NormalHanging12a"/>
        <w:sectPr w:rsidR="00566012" w:rsidSect="00F1640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F16401">
        <w:t>3.</w:t>
      </w:r>
      <w:r w:rsidRPr="00F16401">
        <w:tab/>
        <w:t>pověřuje svou předsedkyni, aby předala postoj Parlamentu Radě</w:t>
      </w:r>
      <w:r w:rsidR="00FD3D00">
        <w:t xml:space="preserve"> a</w:t>
      </w:r>
      <w:r w:rsidRPr="00F16401">
        <w:t xml:space="preserve"> Komisi, jakož i vnitrostátním parlamentům.</w:t>
      </w:r>
    </w:p>
    <w:p w14:paraId="468CC560" w14:textId="77777777" w:rsidR="00566012" w:rsidRPr="00763275" w:rsidRDefault="00566012" w:rsidP="00566012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763275">
        <w:rPr>
          <w:b/>
          <w:bCs/>
          <w:color w:val="000000"/>
        </w:rPr>
        <w:lastRenderedPageBreak/>
        <w:t>P10_TC1-</w:t>
      </w:r>
      <w:proofErr w:type="gramStart"/>
      <w:r w:rsidRPr="00763275">
        <w:rPr>
          <w:b/>
          <w:bCs/>
          <w:color w:val="000000"/>
        </w:rPr>
        <w:t>COD(</w:t>
      </w:r>
      <w:proofErr w:type="gramEnd"/>
      <w:r w:rsidRPr="00763275">
        <w:rPr>
          <w:b/>
          <w:bCs/>
          <w:color w:val="000000"/>
        </w:rPr>
        <w:t>2025)0</w:t>
      </w:r>
      <w:r>
        <w:rPr>
          <w:b/>
          <w:bCs/>
          <w:color w:val="000000"/>
        </w:rPr>
        <w:t>524</w:t>
      </w:r>
    </w:p>
    <w:p w14:paraId="23D88C28" w14:textId="660C18A1" w:rsidR="00566012" w:rsidRDefault="00566012" w:rsidP="00566012">
      <w:pPr>
        <w:pStyle w:val="NormalHanging12a"/>
        <w:ind w:left="0" w:firstLine="0"/>
        <w:rPr>
          <w:rFonts w:eastAsia="Calibri" w:cs="Arial"/>
          <w:b/>
          <w:szCs w:val="22"/>
          <w:lang w:eastAsia="en-US"/>
        </w:rPr>
      </w:pPr>
      <w:r w:rsidRPr="00D70B7C">
        <w:rPr>
          <w:b/>
          <w:bCs/>
        </w:rPr>
        <w:t>Postoj Evropského parlamentu přijatý v prvním čtení dne 1</w:t>
      </w:r>
      <w:r>
        <w:rPr>
          <w:b/>
          <w:bCs/>
        </w:rPr>
        <w:t>0. února</w:t>
      </w:r>
      <w:r w:rsidRPr="00D70B7C">
        <w:rPr>
          <w:b/>
          <w:bCs/>
        </w:rPr>
        <w:t xml:space="preserve"> 202</w:t>
      </w:r>
      <w:r>
        <w:rPr>
          <w:b/>
          <w:bCs/>
        </w:rPr>
        <w:t>6</w:t>
      </w:r>
      <w:r w:rsidRPr="00D70B7C">
        <w:rPr>
          <w:b/>
          <w:bCs/>
        </w:rPr>
        <w:t xml:space="preserve"> k</w:t>
      </w:r>
      <w:r>
        <w:rPr>
          <w:b/>
          <w:bCs/>
        </w:rPr>
        <w:t> </w:t>
      </w:r>
      <w:r w:rsidRPr="00D70B7C">
        <w:rPr>
          <w:b/>
          <w:bCs/>
        </w:rPr>
        <w:t>přijetí</w:t>
      </w:r>
      <w:r>
        <w:rPr>
          <w:b/>
          <w:bCs/>
        </w:rPr>
        <w:t xml:space="preserve"> </w:t>
      </w:r>
      <w:r w:rsidRPr="00566012">
        <w:rPr>
          <w:rFonts w:eastAsia="Calibri" w:cs="Arial"/>
          <w:b/>
          <w:szCs w:val="22"/>
          <w:lang w:eastAsia="en-US"/>
        </w:rPr>
        <w:t>nařízení Evropského parlamentu a Rady</w:t>
      </w:r>
      <w:r>
        <w:rPr>
          <w:rFonts w:eastAsia="Calibri" w:cs="Arial"/>
          <w:b/>
          <w:szCs w:val="22"/>
          <w:lang w:eastAsia="en-US"/>
        </w:rPr>
        <w:t xml:space="preserve"> </w:t>
      </w:r>
      <w:r w:rsidRPr="00566012">
        <w:rPr>
          <w:rFonts w:eastAsia="Calibri" w:cs="Arial"/>
          <w:b/>
          <w:szCs w:val="22"/>
          <w:lang w:eastAsia="en-US"/>
        </w:rPr>
        <w:t>(EU) 2026/...,</w:t>
      </w:r>
      <w:r>
        <w:rPr>
          <w:rFonts w:eastAsia="Calibri" w:cs="Arial"/>
          <w:b/>
          <w:szCs w:val="22"/>
          <w:lang w:eastAsia="en-US"/>
        </w:rPr>
        <w:t xml:space="preserve"> </w:t>
      </w:r>
      <w:r w:rsidRPr="00566012">
        <w:rPr>
          <w:rFonts w:eastAsia="Calibri" w:cs="Arial"/>
          <w:b/>
          <w:szCs w:val="22"/>
          <w:lang w:eastAsia="en-US"/>
        </w:rPr>
        <w:t>kterým se mění nařízení (EU) 2021/1119, pokud jde o stanovení průběžného klimatického cíle Unie pro rok 2040</w:t>
      </w:r>
    </w:p>
    <w:p w14:paraId="002E4A07" w14:textId="58E2A179" w:rsidR="000B1941" w:rsidRPr="000B1941" w:rsidRDefault="000B1941" w:rsidP="000B1941">
      <w:pPr>
        <w:spacing w:before="360"/>
        <w:rPr>
          <w:i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2026</w:t>
      </w:r>
      <w:r w:rsidRPr="008977C0">
        <w:rPr>
          <w:i/>
        </w:rPr>
        <w:t>/</w:t>
      </w:r>
      <w:r>
        <w:rPr>
          <w:i/>
        </w:rPr>
        <w:t>6</w:t>
      </w:r>
      <w:r>
        <w:rPr>
          <w:i/>
        </w:rPr>
        <w:t>67</w:t>
      </w:r>
      <w:r>
        <w:rPr>
          <w:i/>
        </w:rPr>
        <w:t>.)</w:t>
      </w:r>
    </w:p>
    <w:sectPr w:rsidR="000B1941" w:rsidRPr="000B1941" w:rsidSect="00F1640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F9DF3" w14:textId="77777777" w:rsidR="00863E71" w:rsidRPr="00F16401" w:rsidRDefault="00863E71">
      <w:r w:rsidRPr="00F16401">
        <w:separator/>
      </w:r>
    </w:p>
  </w:endnote>
  <w:endnote w:type="continuationSeparator" w:id="0">
    <w:p w14:paraId="696F31A9" w14:textId="77777777" w:rsidR="00863E71" w:rsidRPr="00F16401" w:rsidRDefault="00863E71">
      <w:r w:rsidRPr="00F1640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E5CB4" w14:textId="77777777" w:rsidR="00064002" w:rsidRPr="00F1640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2F0C4" w14:textId="77777777" w:rsidR="00064002" w:rsidRPr="00F1640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B2929" w14:textId="77777777" w:rsidR="00064002" w:rsidRPr="00F1640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D9A45" w14:textId="77777777" w:rsidR="00863E71" w:rsidRPr="00F16401" w:rsidRDefault="00863E71">
      <w:r w:rsidRPr="00F16401">
        <w:separator/>
      </w:r>
    </w:p>
  </w:footnote>
  <w:footnote w:type="continuationSeparator" w:id="0">
    <w:p w14:paraId="299C61EE" w14:textId="77777777" w:rsidR="00863E71" w:rsidRPr="00F16401" w:rsidRDefault="00863E71">
      <w:r w:rsidRPr="00F16401">
        <w:continuationSeparator/>
      </w:r>
    </w:p>
  </w:footnote>
  <w:footnote w:id="1">
    <w:p w14:paraId="46A71912" w14:textId="186AB1CE" w:rsidR="00293C76" w:rsidRPr="002F0769" w:rsidRDefault="00391D9A" w:rsidP="00E56F34">
      <w:pPr>
        <w:pStyle w:val="FootnoteText"/>
        <w:ind w:left="567" w:hanging="567"/>
        <w:rPr>
          <w:sz w:val="24"/>
          <w:szCs w:val="24"/>
          <w:lang w:val="cs-CZ"/>
        </w:rPr>
      </w:pPr>
      <w:r w:rsidRPr="002F0769">
        <w:rPr>
          <w:rStyle w:val="FootnoteReference"/>
          <w:sz w:val="24"/>
          <w:szCs w:val="24"/>
          <w:lang w:val="cs-CZ"/>
        </w:rPr>
        <w:footnoteRef/>
      </w:r>
      <w:r w:rsidR="00F16401" w:rsidRPr="002F0769">
        <w:rPr>
          <w:sz w:val="24"/>
          <w:szCs w:val="24"/>
          <w:lang w:val="cs-CZ"/>
        </w:rPr>
        <w:t xml:space="preserve"> </w:t>
      </w:r>
      <w:r w:rsidR="00F16401" w:rsidRPr="002F0769">
        <w:rPr>
          <w:sz w:val="24"/>
          <w:szCs w:val="24"/>
          <w:lang w:val="cs-CZ"/>
        </w:rPr>
        <w:tab/>
      </w:r>
      <w:proofErr w:type="spellStart"/>
      <w:r w:rsidR="00AB76B1" w:rsidRPr="002F0769">
        <w:rPr>
          <w:sz w:val="24"/>
          <w:szCs w:val="24"/>
          <w:lang w:val="nl-NL"/>
        </w:rPr>
        <w:t>Úř</w:t>
      </w:r>
      <w:proofErr w:type="spellEnd"/>
      <w:r w:rsidR="00AB76B1" w:rsidRPr="002F0769">
        <w:rPr>
          <w:sz w:val="24"/>
          <w:szCs w:val="24"/>
          <w:lang w:val="nl-NL"/>
        </w:rPr>
        <w:t xml:space="preserve">. </w:t>
      </w:r>
      <w:proofErr w:type="spellStart"/>
      <w:proofErr w:type="gramStart"/>
      <w:r w:rsidR="00AB76B1" w:rsidRPr="002F0769">
        <w:rPr>
          <w:sz w:val="24"/>
          <w:szCs w:val="24"/>
          <w:lang w:val="nl-NL"/>
        </w:rPr>
        <w:t>věst</w:t>
      </w:r>
      <w:proofErr w:type="spellEnd"/>
      <w:proofErr w:type="gramEnd"/>
      <w:r w:rsidR="00AB76B1" w:rsidRPr="002F0769">
        <w:rPr>
          <w:sz w:val="24"/>
          <w:szCs w:val="24"/>
          <w:lang w:val="nl-NL"/>
        </w:rPr>
        <w:t>. C, C/2026/37, 16.1.2026, ELI: </w:t>
      </w:r>
      <w:hyperlink r:id="rId1" w:history="1">
        <w:r w:rsidR="00AB76B1" w:rsidRPr="002F0769">
          <w:rPr>
            <w:rStyle w:val="Hyperlink"/>
            <w:sz w:val="24"/>
            <w:szCs w:val="24"/>
            <w:lang w:val="nl-NL"/>
          </w:rPr>
          <w:t>http://data.europa.eu/eli/C/2026/37/oj</w:t>
        </w:r>
      </w:hyperlink>
      <w:r w:rsidRPr="002F0769">
        <w:rPr>
          <w:sz w:val="24"/>
          <w:szCs w:val="24"/>
          <w:lang w:val="cs-CZ"/>
        </w:rPr>
        <w:t>.</w:t>
      </w:r>
    </w:p>
  </w:footnote>
  <w:footnote w:id="2">
    <w:p w14:paraId="16674F94" w14:textId="189F4E63" w:rsidR="00A078B0" w:rsidRPr="002F0769" w:rsidRDefault="00A078B0" w:rsidP="003A6D0A">
      <w:pPr>
        <w:pStyle w:val="FootnoteText"/>
        <w:ind w:left="567" w:hanging="567"/>
        <w:rPr>
          <w:sz w:val="24"/>
          <w:szCs w:val="24"/>
          <w:lang w:val="cs-CZ"/>
        </w:rPr>
      </w:pPr>
      <w:r w:rsidRPr="002F0769">
        <w:rPr>
          <w:rStyle w:val="FootnoteReference"/>
          <w:sz w:val="24"/>
          <w:szCs w:val="24"/>
        </w:rPr>
        <w:footnoteRef/>
      </w:r>
      <w:r w:rsidRPr="002F0769">
        <w:rPr>
          <w:sz w:val="24"/>
          <w:szCs w:val="24"/>
          <w:lang w:val="cs-CZ"/>
        </w:rPr>
        <w:t xml:space="preserve"> </w:t>
      </w:r>
      <w:r w:rsidRPr="002F0769">
        <w:rPr>
          <w:sz w:val="24"/>
          <w:szCs w:val="24"/>
          <w:lang w:val="cs-CZ"/>
        </w:rPr>
        <w:tab/>
        <w:t>Tento postoj nahrazuje pozměňovací návrhy přijaté dne 13. listopadu 2025 (Přijaté texty, P10_</w:t>
      </w:r>
      <w:proofErr w:type="gramStart"/>
      <w:r w:rsidRPr="002F0769">
        <w:rPr>
          <w:sz w:val="24"/>
          <w:szCs w:val="24"/>
          <w:lang w:val="cs-CZ"/>
        </w:rPr>
        <w:t>TA(</w:t>
      </w:r>
      <w:proofErr w:type="gramEnd"/>
      <w:r w:rsidRPr="002F0769">
        <w:rPr>
          <w:sz w:val="24"/>
          <w:szCs w:val="24"/>
          <w:lang w:val="cs-CZ"/>
        </w:rPr>
        <w:t>2025)0262).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60E55" w14:textId="77777777" w:rsidR="00064002" w:rsidRPr="00F1640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35CC9" w14:textId="77777777" w:rsidR="00064002" w:rsidRPr="00F1640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164A1" w14:textId="77777777" w:rsidR="00064002" w:rsidRPr="00F1640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56D1FCA"/>
    <w:multiLevelType w:val="hybridMultilevel"/>
    <w:tmpl w:val="7B4CB036"/>
    <w:lvl w:ilvl="0" w:tplc="396EBB50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753A7891"/>
    <w:multiLevelType w:val="hybridMultilevel"/>
    <w:tmpl w:val="2FDA4654"/>
    <w:lvl w:ilvl="0" w:tplc="D93A0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FACB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18F0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BC59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C215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38D1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1A41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ACD15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F762D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016474">
    <w:abstractNumId w:val="9"/>
  </w:num>
  <w:num w:numId="2" w16cid:durableId="1512603085">
    <w:abstractNumId w:val="9"/>
  </w:num>
  <w:num w:numId="3" w16cid:durableId="848183702">
    <w:abstractNumId w:val="7"/>
  </w:num>
  <w:num w:numId="4" w16cid:durableId="2011910170">
    <w:abstractNumId w:val="7"/>
  </w:num>
  <w:num w:numId="5" w16cid:durableId="933321033">
    <w:abstractNumId w:val="6"/>
  </w:num>
  <w:num w:numId="6" w16cid:durableId="968780553">
    <w:abstractNumId w:val="6"/>
  </w:num>
  <w:num w:numId="7" w16cid:durableId="332688782">
    <w:abstractNumId w:val="5"/>
  </w:num>
  <w:num w:numId="8" w16cid:durableId="1012729189">
    <w:abstractNumId w:val="5"/>
  </w:num>
  <w:num w:numId="9" w16cid:durableId="2146467093">
    <w:abstractNumId w:val="4"/>
  </w:num>
  <w:num w:numId="10" w16cid:durableId="540702460">
    <w:abstractNumId w:val="4"/>
  </w:num>
  <w:num w:numId="11" w16cid:durableId="408383207">
    <w:abstractNumId w:val="8"/>
  </w:num>
  <w:num w:numId="12" w16cid:durableId="1103458480">
    <w:abstractNumId w:val="8"/>
  </w:num>
  <w:num w:numId="13" w16cid:durableId="352538697">
    <w:abstractNumId w:val="3"/>
  </w:num>
  <w:num w:numId="14" w16cid:durableId="1026832293">
    <w:abstractNumId w:val="3"/>
  </w:num>
  <w:num w:numId="15" w16cid:durableId="1863975309">
    <w:abstractNumId w:val="2"/>
  </w:num>
  <w:num w:numId="16" w16cid:durableId="827480970">
    <w:abstractNumId w:val="2"/>
  </w:num>
  <w:num w:numId="17" w16cid:durableId="1413236159">
    <w:abstractNumId w:val="1"/>
  </w:num>
  <w:num w:numId="18" w16cid:durableId="121314838">
    <w:abstractNumId w:val="1"/>
  </w:num>
  <w:num w:numId="19" w16cid:durableId="770586106">
    <w:abstractNumId w:val="0"/>
  </w:num>
  <w:num w:numId="20" w16cid:durableId="801314968">
    <w:abstractNumId w:val="0"/>
  </w:num>
  <w:num w:numId="21" w16cid:durableId="466316459">
    <w:abstractNumId w:val="9"/>
  </w:num>
  <w:num w:numId="22" w16cid:durableId="885947632">
    <w:abstractNumId w:val="7"/>
  </w:num>
  <w:num w:numId="23" w16cid:durableId="1722441505">
    <w:abstractNumId w:val="6"/>
  </w:num>
  <w:num w:numId="24" w16cid:durableId="698360969">
    <w:abstractNumId w:val="5"/>
  </w:num>
  <w:num w:numId="25" w16cid:durableId="1990163632">
    <w:abstractNumId w:val="4"/>
  </w:num>
  <w:num w:numId="26" w16cid:durableId="695732419">
    <w:abstractNumId w:val="8"/>
  </w:num>
  <w:num w:numId="27" w16cid:durableId="537548545">
    <w:abstractNumId w:val="3"/>
  </w:num>
  <w:num w:numId="28" w16cid:durableId="1718311095">
    <w:abstractNumId w:val="2"/>
  </w:num>
  <w:num w:numId="29" w16cid:durableId="2010862590">
    <w:abstractNumId w:val="1"/>
  </w:num>
  <w:num w:numId="30" w16cid:durableId="480073926">
    <w:abstractNumId w:val="0"/>
  </w:num>
  <w:num w:numId="31" w16cid:durableId="413819174">
    <w:abstractNumId w:val="9"/>
  </w:num>
  <w:num w:numId="32" w16cid:durableId="685863254">
    <w:abstractNumId w:val="7"/>
  </w:num>
  <w:num w:numId="33" w16cid:durableId="658850982">
    <w:abstractNumId w:val="6"/>
  </w:num>
  <w:num w:numId="34" w16cid:durableId="1035739422">
    <w:abstractNumId w:val="5"/>
  </w:num>
  <w:num w:numId="35" w16cid:durableId="1250891782">
    <w:abstractNumId w:val="4"/>
  </w:num>
  <w:num w:numId="36" w16cid:durableId="182482285">
    <w:abstractNumId w:val="8"/>
  </w:num>
  <w:num w:numId="37" w16cid:durableId="162552976">
    <w:abstractNumId w:val="3"/>
  </w:num>
  <w:num w:numId="38" w16cid:durableId="1640724674">
    <w:abstractNumId w:val="2"/>
  </w:num>
  <w:num w:numId="39" w16cid:durableId="460155327">
    <w:abstractNumId w:val="1"/>
  </w:num>
  <w:num w:numId="40" w16cid:durableId="1217161063">
    <w:abstractNumId w:val="0"/>
  </w:num>
  <w:num w:numId="41" w16cid:durableId="2098944901">
    <w:abstractNumId w:val="10"/>
  </w:num>
  <w:num w:numId="42" w16cid:durableId="2111505263">
    <w:abstractNumId w:val="10"/>
  </w:num>
  <w:num w:numId="43" w16cid:durableId="469443770">
    <w:abstractNumId w:val="10"/>
  </w:num>
  <w:num w:numId="44" w16cid:durableId="2004312102">
    <w:abstractNumId w:val="12"/>
  </w:num>
  <w:num w:numId="45" w16cid:durableId="851262757">
    <w:abstractNumId w:val="13"/>
  </w:num>
  <w:num w:numId="46" w16cid:durableId="21202941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3/2025"/>
    <w:docVar w:name="dvlangue" w:val="CS"/>
    <w:docVar w:name="dvnumam" w:val="68"/>
    <w:docVar w:name="dvpe" w:val="775.698"/>
    <w:docVar w:name="dvrapporteur" w:val="Zpravodaj: "/>
    <w:docVar w:name="dvstar" w:val="***I"/>
    <w:docVar w:name="dvtitre" w:val="Legislativní usnesení Evropského parlamentu ze dne.... 2025 o návrhu nařízení Evropského parlamentu a Rady, kterým se mění nařízení (EU) 2021/1119, kterým se stanoví rámec pro dosažení klimatické neutrality(COM(2025)0524 – C10-0137/2025 – 2025/0524(COD))"/>
  </w:docVars>
  <w:rsids>
    <w:rsidRoot w:val="00863E71"/>
    <w:rsid w:val="00002272"/>
    <w:rsid w:val="00011FC6"/>
    <w:rsid w:val="00064002"/>
    <w:rsid w:val="000677B9"/>
    <w:rsid w:val="0007425D"/>
    <w:rsid w:val="000831BA"/>
    <w:rsid w:val="000A42CC"/>
    <w:rsid w:val="000B1941"/>
    <w:rsid w:val="000E04CB"/>
    <w:rsid w:val="000E5A63"/>
    <w:rsid w:val="000E7DD9"/>
    <w:rsid w:val="000F3FE3"/>
    <w:rsid w:val="0010095E"/>
    <w:rsid w:val="00125B37"/>
    <w:rsid w:val="001309B3"/>
    <w:rsid w:val="00187494"/>
    <w:rsid w:val="001F32AE"/>
    <w:rsid w:val="002767FF"/>
    <w:rsid w:val="00293C76"/>
    <w:rsid w:val="002B18FE"/>
    <w:rsid w:val="002B5493"/>
    <w:rsid w:val="002F0769"/>
    <w:rsid w:val="00343214"/>
    <w:rsid w:val="00361C00"/>
    <w:rsid w:val="00371DE2"/>
    <w:rsid w:val="00391D9A"/>
    <w:rsid w:val="00395FA1"/>
    <w:rsid w:val="003A6D0A"/>
    <w:rsid w:val="003A72BE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118D"/>
    <w:rsid w:val="0050519A"/>
    <w:rsid w:val="005072A1"/>
    <w:rsid w:val="00514517"/>
    <w:rsid w:val="00540256"/>
    <w:rsid w:val="00545827"/>
    <w:rsid w:val="0055180B"/>
    <w:rsid w:val="00560270"/>
    <w:rsid w:val="00566012"/>
    <w:rsid w:val="005867AE"/>
    <w:rsid w:val="005C2568"/>
    <w:rsid w:val="005E01F5"/>
    <w:rsid w:val="005F1B17"/>
    <w:rsid w:val="006037C0"/>
    <w:rsid w:val="006631B6"/>
    <w:rsid w:val="00680577"/>
    <w:rsid w:val="006E5CA7"/>
    <w:rsid w:val="006F74FA"/>
    <w:rsid w:val="00731ADD"/>
    <w:rsid w:val="00734777"/>
    <w:rsid w:val="00747932"/>
    <w:rsid w:val="00751A4A"/>
    <w:rsid w:val="007535E9"/>
    <w:rsid w:val="00756632"/>
    <w:rsid w:val="00762C74"/>
    <w:rsid w:val="00767BAD"/>
    <w:rsid w:val="00786EC0"/>
    <w:rsid w:val="007B0453"/>
    <w:rsid w:val="007D1690"/>
    <w:rsid w:val="007E22AD"/>
    <w:rsid w:val="00804DA2"/>
    <w:rsid w:val="00817416"/>
    <w:rsid w:val="00842779"/>
    <w:rsid w:val="00857DF5"/>
    <w:rsid w:val="00863E71"/>
    <w:rsid w:val="00865EC4"/>
    <w:rsid w:val="00865F67"/>
    <w:rsid w:val="00881A7B"/>
    <w:rsid w:val="008840E5"/>
    <w:rsid w:val="00887B3E"/>
    <w:rsid w:val="008C2AC6"/>
    <w:rsid w:val="008F4C67"/>
    <w:rsid w:val="00930C23"/>
    <w:rsid w:val="0093193B"/>
    <w:rsid w:val="009509D8"/>
    <w:rsid w:val="00950B64"/>
    <w:rsid w:val="00981893"/>
    <w:rsid w:val="00994F9A"/>
    <w:rsid w:val="00A078B0"/>
    <w:rsid w:val="00A1687D"/>
    <w:rsid w:val="00A43E52"/>
    <w:rsid w:val="00A4678D"/>
    <w:rsid w:val="00A46EF4"/>
    <w:rsid w:val="00A778C7"/>
    <w:rsid w:val="00A94712"/>
    <w:rsid w:val="00AA67BF"/>
    <w:rsid w:val="00AB441E"/>
    <w:rsid w:val="00AB6293"/>
    <w:rsid w:val="00AB76B1"/>
    <w:rsid w:val="00AE0928"/>
    <w:rsid w:val="00AF3B82"/>
    <w:rsid w:val="00B12E95"/>
    <w:rsid w:val="00B22876"/>
    <w:rsid w:val="00B27318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29B5"/>
    <w:rsid w:val="00CF071A"/>
    <w:rsid w:val="00D058B8"/>
    <w:rsid w:val="00D4203F"/>
    <w:rsid w:val="00D4373F"/>
    <w:rsid w:val="00D56C11"/>
    <w:rsid w:val="00D834A0"/>
    <w:rsid w:val="00D872DF"/>
    <w:rsid w:val="00D91E21"/>
    <w:rsid w:val="00DA7FCD"/>
    <w:rsid w:val="00E365E1"/>
    <w:rsid w:val="00E56F34"/>
    <w:rsid w:val="00E820A4"/>
    <w:rsid w:val="00E917AB"/>
    <w:rsid w:val="00EB006A"/>
    <w:rsid w:val="00EB4772"/>
    <w:rsid w:val="00ED169E"/>
    <w:rsid w:val="00ED4235"/>
    <w:rsid w:val="00F04346"/>
    <w:rsid w:val="00F075DC"/>
    <w:rsid w:val="00F149E9"/>
    <w:rsid w:val="00F16401"/>
    <w:rsid w:val="00F5134D"/>
    <w:rsid w:val="00F60792"/>
    <w:rsid w:val="00F74202"/>
    <w:rsid w:val="00F87713"/>
    <w:rsid w:val="00FB4360"/>
    <w:rsid w:val="00FD0C70"/>
    <w:rsid w:val="00FD3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6FB32E"/>
  <w15:chartTrackingRefBased/>
  <w15:docId w15:val="{FBD9855B-B5D3-4EAF-A183-0B1D8AA2C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uiPriority="10" w:qFormat="1"/>
    <w:lsdException w:name="Subtitle" w:uiPriority="11" w:qFormat="1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391D9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391D9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391D9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391D9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391D9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391D9A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391D9A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391D9A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391D9A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391D9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91D9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391D9A"/>
    <w:pPr>
      <w:spacing w:before="480" w:after="240"/>
    </w:pPr>
  </w:style>
  <w:style w:type="paragraph" w:customStyle="1" w:styleId="TOCPage">
    <w:name w:val="TOC Page"/>
    <w:basedOn w:val="Normal"/>
    <w:next w:val="TOC1"/>
    <w:rsid w:val="00391D9A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391D9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91D9A"/>
    <w:rPr>
      <w:b/>
    </w:rPr>
  </w:style>
  <w:style w:type="paragraph" w:customStyle="1" w:styleId="NormalBold12a">
    <w:name w:val="NormalBold12a"/>
    <w:basedOn w:val="Normal"/>
    <w:rsid w:val="00391D9A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391D9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91D9A"/>
    <w:pPr>
      <w:spacing w:after="480"/>
      <w:ind w:left="1417"/>
    </w:pPr>
  </w:style>
  <w:style w:type="paragraph" w:customStyle="1" w:styleId="CoverNormal">
    <w:name w:val="CoverNormal"/>
    <w:basedOn w:val="Normal"/>
    <w:rsid w:val="00391D9A"/>
    <w:pPr>
      <w:ind w:left="1418"/>
    </w:pPr>
  </w:style>
  <w:style w:type="paragraph" w:customStyle="1" w:styleId="CoverReference">
    <w:name w:val="CoverReference"/>
    <w:basedOn w:val="Normal"/>
    <w:rsid w:val="00391D9A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91D9A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91D9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91D9A"/>
    <w:pPr>
      <w:spacing w:before="240" w:after="1200"/>
    </w:pPr>
  </w:style>
  <w:style w:type="paragraph" w:styleId="Header">
    <w:name w:val="header"/>
    <w:basedOn w:val="Normal"/>
    <w:link w:val="HeaderChar"/>
    <w:rsid w:val="00391D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91D9A"/>
    <w:rPr>
      <w:sz w:val="24"/>
      <w:lang w:val="cs-CZ"/>
    </w:rPr>
  </w:style>
  <w:style w:type="paragraph" w:customStyle="1" w:styleId="EPBody">
    <w:name w:val="EPBody"/>
    <w:basedOn w:val="Normal"/>
    <w:rsid w:val="00391D9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91D9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391D9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91D9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91D9A"/>
    <w:rPr>
      <w:sz w:val="18"/>
    </w:rPr>
  </w:style>
  <w:style w:type="character" w:styleId="Hyperlink">
    <w:name w:val="Hyperlink"/>
    <w:basedOn w:val="DefaultParagraphFont"/>
    <w:unhideWhenUsed/>
    <w:rsid w:val="00391D9A"/>
    <w:rPr>
      <w:color w:val="0000FF"/>
      <w:u w:val="single"/>
    </w:rPr>
  </w:style>
  <w:style w:type="paragraph" w:customStyle="1" w:styleId="Normal12a">
    <w:name w:val="Normal12a"/>
    <w:basedOn w:val="Normal"/>
    <w:rsid w:val="00391D9A"/>
    <w:pPr>
      <w:spacing w:after="240"/>
    </w:pPr>
  </w:style>
  <w:style w:type="paragraph" w:styleId="Title">
    <w:name w:val="Title"/>
    <w:basedOn w:val="Normal"/>
    <w:next w:val="Normal"/>
    <w:link w:val="TitleChar"/>
    <w:uiPriority w:val="10"/>
    <w:qFormat/>
    <w:rsid w:val="00391D9A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391D9A"/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1D9A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val="en-GB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91D9A"/>
    <w:rPr>
      <w:rFonts w:ascii="Arial" w:eastAsiaTheme="majorEastAsia" w:hAnsi="Arial" w:cs="Arial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391D9A"/>
    <w:rPr>
      <w:b/>
      <w:bCs/>
    </w:rPr>
  </w:style>
  <w:style w:type="character" w:styleId="Emphasis">
    <w:name w:val="Emphasis"/>
    <w:basedOn w:val="DefaultParagraphFont"/>
    <w:uiPriority w:val="20"/>
    <w:qFormat/>
    <w:rsid w:val="00391D9A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391D9A"/>
    <w:pPr>
      <w:widowControl/>
      <w:jc w:val="both"/>
    </w:pPr>
    <w:rPr>
      <w:rFonts w:eastAsiaTheme="minorHAnsi"/>
      <w:szCs w:val="32"/>
      <w:lang w:val="en-GB" w:eastAsia="en-US"/>
    </w:rPr>
  </w:style>
  <w:style w:type="paragraph" w:styleId="ListParagraph">
    <w:name w:val="List Paragraph"/>
    <w:basedOn w:val="Normal"/>
    <w:uiPriority w:val="34"/>
    <w:qFormat/>
    <w:rsid w:val="00391D9A"/>
    <w:pPr>
      <w:widowControl/>
      <w:ind w:left="720"/>
      <w:contextualSpacing/>
      <w:jc w:val="both"/>
    </w:pPr>
    <w:rPr>
      <w:rFonts w:eastAsiaTheme="minorHAnsi"/>
      <w:szCs w:val="24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91D9A"/>
    <w:pPr>
      <w:widowControl/>
      <w:jc w:val="both"/>
    </w:pPr>
    <w:rPr>
      <w:rFonts w:eastAsiaTheme="minorHAnsi"/>
      <w:i/>
      <w:szCs w:val="24"/>
      <w:lang w:val="en-GB" w:eastAsia="en-US"/>
    </w:rPr>
  </w:style>
  <w:style w:type="character" w:customStyle="1" w:styleId="QuoteChar">
    <w:name w:val="Quote Char"/>
    <w:basedOn w:val="DefaultParagraphFont"/>
    <w:link w:val="Quote"/>
    <w:uiPriority w:val="29"/>
    <w:rsid w:val="00391D9A"/>
    <w:rPr>
      <w:rFonts w:eastAsiaTheme="minorHAnsi"/>
      <w:i/>
      <w:sz w:val="24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1D9A"/>
    <w:pPr>
      <w:widowControl/>
      <w:ind w:left="720" w:right="720"/>
      <w:jc w:val="both"/>
    </w:pPr>
    <w:rPr>
      <w:rFonts w:eastAsiaTheme="minorHAnsi"/>
      <w:b/>
      <w:i/>
      <w:szCs w:val="22"/>
      <w:lang w:val="en-GB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1D9A"/>
    <w:rPr>
      <w:rFonts w:eastAsiaTheme="minorHAnsi"/>
      <w:b/>
      <w:i/>
      <w:sz w:val="24"/>
      <w:szCs w:val="22"/>
      <w:lang w:eastAsia="en-US"/>
    </w:rPr>
  </w:style>
  <w:style w:type="character" w:styleId="SubtleEmphasis">
    <w:name w:val="Subtle Emphasis"/>
    <w:uiPriority w:val="19"/>
    <w:qFormat/>
    <w:rsid w:val="00391D9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391D9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391D9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391D9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391D9A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Normal6a">
    <w:name w:val="Normal6a"/>
    <w:basedOn w:val="Normal"/>
    <w:rsid w:val="00391D9A"/>
    <w:pPr>
      <w:spacing w:after="120"/>
    </w:pPr>
    <w:rPr>
      <w:lang w:val="en-GB"/>
    </w:rPr>
  </w:style>
  <w:style w:type="paragraph" w:customStyle="1" w:styleId="AmJustText">
    <w:name w:val="AmJustText"/>
    <w:basedOn w:val="Normal"/>
    <w:rsid w:val="00391D9A"/>
    <w:pPr>
      <w:spacing w:after="240"/>
    </w:pPr>
    <w:rPr>
      <w:i/>
      <w:lang w:val="en-GB"/>
    </w:rPr>
  </w:style>
  <w:style w:type="paragraph" w:customStyle="1" w:styleId="AmCrossRef">
    <w:name w:val="AmCrossRef"/>
    <w:basedOn w:val="Normal"/>
    <w:rsid w:val="00391D9A"/>
    <w:pPr>
      <w:spacing w:before="240" w:after="240"/>
      <w:jc w:val="center"/>
    </w:pPr>
    <w:rPr>
      <w:i/>
      <w:lang w:val="en-GB"/>
    </w:rPr>
  </w:style>
  <w:style w:type="paragraph" w:customStyle="1" w:styleId="AmJustTitle">
    <w:name w:val="AmJustTitle"/>
    <w:basedOn w:val="Normal"/>
    <w:next w:val="AmJustText"/>
    <w:rsid w:val="00391D9A"/>
    <w:pPr>
      <w:keepNext/>
      <w:spacing w:before="240" w:after="240"/>
      <w:jc w:val="center"/>
    </w:pPr>
    <w:rPr>
      <w:i/>
      <w:lang w:val="en-GB"/>
    </w:rPr>
  </w:style>
  <w:style w:type="paragraph" w:customStyle="1" w:styleId="AmOrLang">
    <w:name w:val="AmOrLang"/>
    <w:basedOn w:val="Normal"/>
    <w:rsid w:val="00391D9A"/>
    <w:pPr>
      <w:spacing w:before="240" w:after="240"/>
      <w:jc w:val="right"/>
    </w:pPr>
    <w:rPr>
      <w:lang w:val="en-GB"/>
    </w:rPr>
  </w:style>
  <w:style w:type="paragraph" w:customStyle="1" w:styleId="AmColumnHeading">
    <w:name w:val="AmColumnHeading"/>
    <w:basedOn w:val="Normal"/>
    <w:rsid w:val="00391D9A"/>
    <w:pPr>
      <w:spacing w:after="240"/>
      <w:jc w:val="center"/>
    </w:pPr>
    <w:rPr>
      <w:i/>
      <w:lang w:val="en-GB"/>
    </w:rPr>
  </w:style>
  <w:style w:type="paragraph" w:customStyle="1" w:styleId="AmNumberTabs">
    <w:name w:val="AmNumberTabs"/>
    <w:basedOn w:val="Normal"/>
    <w:rsid w:val="00391D9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n-GB"/>
    </w:rPr>
  </w:style>
  <w:style w:type="paragraph" w:customStyle="1" w:styleId="NormalBold12b">
    <w:name w:val="NormalBold12b"/>
    <w:basedOn w:val="Normal"/>
    <w:rsid w:val="00391D9A"/>
    <w:pPr>
      <w:spacing w:before="240"/>
    </w:pPr>
    <w:rPr>
      <w:b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391D9A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391D9A"/>
    <w:pPr>
      <w:spacing w:after="120"/>
    </w:pPr>
    <w:rPr>
      <w:lang w:val="fr-FR"/>
    </w:rPr>
  </w:style>
  <w:style w:type="character" w:customStyle="1" w:styleId="NormalBoldChar">
    <w:name w:val="NormalBold Char"/>
    <w:basedOn w:val="DefaultParagraphFont"/>
    <w:link w:val="NormalBold"/>
    <w:locked/>
    <w:rsid w:val="00391D9A"/>
    <w:rPr>
      <w:b/>
      <w:sz w:val="24"/>
      <w:lang w:val="cs-CZ"/>
    </w:rPr>
  </w:style>
  <w:style w:type="paragraph" w:customStyle="1" w:styleId="ColumnHeading">
    <w:name w:val="ColumnHeading"/>
    <w:basedOn w:val="Normal"/>
    <w:rsid w:val="00391D9A"/>
    <w:pPr>
      <w:spacing w:after="240"/>
      <w:jc w:val="center"/>
    </w:pPr>
    <w:rPr>
      <w:i/>
      <w:lang w:val="fr-FR"/>
    </w:rPr>
  </w:style>
  <w:style w:type="paragraph" w:customStyle="1" w:styleId="CoverBold">
    <w:name w:val="CoverBold"/>
    <w:basedOn w:val="Normal"/>
    <w:rsid w:val="00391D9A"/>
    <w:pPr>
      <w:ind w:left="1417"/>
    </w:pPr>
    <w:rPr>
      <w:b/>
      <w:lang w:val="en-GB"/>
    </w:rPr>
  </w:style>
  <w:style w:type="character" w:styleId="FollowedHyperlink">
    <w:name w:val="FollowedHyperlink"/>
    <w:basedOn w:val="DefaultParagraphFont"/>
    <w:uiPriority w:val="99"/>
    <w:unhideWhenUsed/>
    <w:rsid w:val="00391D9A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391D9A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CommentText">
    <w:name w:val="annotation text"/>
    <w:basedOn w:val="Normal"/>
    <w:link w:val="CommentTextChar"/>
    <w:unhideWhenUsed/>
    <w:rsid w:val="00391D9A"/>
    <w:pPr>
      <w:widowControl/>
    </w:pPr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rsid w:val="00391D9A"/>
  </w:style>
  <w:style w:type="paragraph" w:customStyle="1" w:styleId="LetterSalutation">
    <w:name w:val="LetterSalutation"/>
    <w:basedOn w:val="Normal"/>
    <w:rsid w:val="00391D9A"/>
    <w:pPr>
      <w:spacing w:before="600" w:after="360"/>
    </w:pPr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91D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91D9A"/>
    <w:rPr>
      <w:b/>
      <w:bCs/>
    </w:rPr>
  </w:style>
  <w:style w:type="paragraph" w:styleId="Revision">
    <w:name w:val="Revision"/>
    <w:uiPriority w:val="99"/>
    <w:semiHidden/>
    <w:rsid w:val="00391D9A"/>
    <w:rPr>
      <w:sz w:val="24"/>
      <w:szCs w:val="24"/>
    </w:rPr>
  </w:style>
  <w:style w:type="character" w:customStyle="1" w:styleId="Normal12Char">
    <w:name w:val="Normal12 Char"/>
    <w:basedOn w:val="DefaultParagraphFont"/>
    <w:link w:val="Normal12"/>
    <w:locked/>
    <w:rsid w:val="00391D9A"/>
    <w:rPr>
      <w:noProof/>
      <w:sz w:val="24"/>
    </w:rPr>
  </w:style>
  <w:style w:type="paragraph" w:customStyle="1" w:styleId="Normal12">
    <w:name w:val="Normal12"/>
    <w:basedOn w:val="Normal"/>
    <w:link w:val="Normal12Char"/>
    <w:rsid w:val="00391D9A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391D9A"/>
    <w:pPr>
      <w:spacing w:before="240" w:after="600"/>
      <w:jc w:val="center"/>
    </w:pPr>
    <w:rPr>
      <w:i/>
      <w:lang w:val="en-GB"/>
    </w:rPr>
  </w:style>
  <w:style w:type="paragraph" w:customStyle="1" w:styleId="ZDateAM">
    <w:name w:val="ZDateAM"/>
    <w:basedOn w:val="Normal"/>
    <w:rsid w:val="00391D9A"/>
    <w:pPr>
      <w:tabs>
        <w:tab w:val="right" w:pos="9356"/>
      </w:tabs>
      <w:spacing w:after="480"/>
    </w:pPr>
    <w:rPr>
      <w:noProof/>
      <w:lang w:val="en-GB"/>
    </w:rPr>
  </w:style>
  <w:style w:type="paragraph" w:customStyle="1" w:styleId="ProjRap">
    <w:name w:val="ProjRap"/>
    <w:basedOn w:val="Normal"/>
    <w:rsid w:val="00391D9A"/>
    <w:pPr>
      <w:tabs>
        <w:tab w:val="right" w:pos="9356"/>
      </w:tabs>
    </w:pPr>
    <w:rPr>
      <w:b/>
      <w:noProof/>
      <w:lang w:val="en-GB"/>
    </w:rPr>
  </w:style>
  <w:style w:type="paragraph" w:customStyle="1" w:styleId="PELeft">
    <w:name w:val="PELeft"/>
    <w:basedOn w:val="Normal"/>
    <w:rsid w:val="00391D9A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391D9A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Normal12Italic">
    <w:name w:val="Normal12Italic"/>
    <w:basedOn w:val="Normal12"/>
    <w:rsid w:val="00391D9A"/>
    <w:rPr>
      <w:i/>
      <w:lang w:val="fr-FR"/>
    </w:rPr>
  </w:style>
  <w:style w:type="paragraph" w:customStyle="1" w:styleId="JustificationTitle">
    <w:name w:val="JustificationTitle"/>
    <w:basedOn w:val="Normal"/>
    <w:next w:val="Normal12"/>
    <w:rsid w:val="00391D9A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Olang">
    <w:name w:val="Olang"/>
    <w:basedOn w:val="Normal"/>
    <w:rsid w:val="00391D9A"/>
    <w:pPr>
      <w:spacing w:before="240" w:after="240"/>
      <w:jc w:val="right"/>
    </w:pPr>
    <w:rPr>
      <w:noProof/>
      <w:szCs w:val="24"/>
      <w:lang w:val="fr-FR"/>
    </w:rPr>
  </w:style>
  <w:style w:type="paragraph" w:customStyle="1" w:styleId="AMNumberTabs0">
    <w:name w:val="AMNumberTabs"/>
    <w:basedOn w:val="Normal"/>
    <w:rsid w:val="00391D9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rossRef">
    <w:name w:val="CrossRef"/>
    <w:basedOn w:val="Normal"/>
    <w:rsid w:val="00391D9A"/>
    <w:pPr>
      <w:spacing w:before="240"/>
      <w:jc w:val="center"/>
    </w:pPr>
    <w:rPr>
      <w:i/>
      <w:lang w:val="fr-FR"/>
    </w:rPr>
  </w:style>
  <w:style w:type="paragraph" w:customStyle="1" w:styleId="LetterSubject">
    <w:name w:val="LetterSubject"/>
    <w:basedOn w:val="Normal"/>
    <w:uiPriority w:val="99"/>
    <w:rsid w:val="00391D9A"/>
    <w:pPr>
      <w:spacing w:before="480"/>
      <w:ind w:left="1134" w:hanging="1134"/>
    </w:pPr>
    <w:rPr>
      <w:lang w:val="en-GB"/>
    </w:rPr>
  </w:style>
  <w:style w:type="character" w:styleId="CommentReference">
    <w:name w:val="annotation reference"/>
    <w:basedOn w:val="DefaultParagraphFont"/>
    <w:unhideWhenUsed/>
    <w:rsid w:val="00391D9A"/>
    <w:rPr>
      <w:sz w:val="16"/>
      <w:szCs w:val="16"/>
    </w:rPr>
  </w:style>
  <w:style w:type="character" w:customStyle="1" w:styleId="Footer2Middle">
    <w:name w:val="Footer2Middle"/>
    <w:rsid w:val="00391D9A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391D9A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391D9A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391D9A"/>
    <w:pPr>
      <w:jc w:val="center"/>
    </w:pPr>
    <w:rPr>
      <w:b/>
      <w:lang w:val="en-GB"/>
    </w:rPr>
  </w:style>
  <w:style w:type="paragraph" w:customStyle="1" w:styleId="Footprint12b">
    <w:name w:val="Footprint12b"/>
    <w:basedOn w:val="Normal"/>
    <w:rsid w:val="00391D9A"/>
    <w:pPr>
      <w:spacing w:before="240"/>
    </w:pPr>
    <w:rPr>
      <w:szCs w:val="24"/>
      <w:lang w:val="en-GB"/>
    </w:rPr>
  </w:style>
  <w:style w:type="paragraph" w:customStyle="1" w:styleId="NormalSingle">
    <w:name w:val="NormalSingle"/>
    <w:basedOn w:val="Normal"/>
    <w:qFormat/>
    <w:rsid w:val="00391D9A"/>
    <w:rPr>
      <w:szCs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91D9A"/>
    <w:rPr>
      <w:color w:val="605E5C"/>
      <w:shd w:val="clear" w:color="auto" w:fill="E1DFDD"/>
    </w:rPr>
  </w:style>
  <w:style w:type="paragraph" w:customStyle="1" w:styleId="PageHeadingNotTOC">
    <w:name w:val="PageHeadingNotTOC"/>
    <w:basedOn w:val="Normal"/>
    <w:rsid w:val="00391D9A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391D9A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styleId="BalloonText">
    <w:name w:val="Balloon Text"/>
    <w:basedOn w:val="Normal"/>
    <w:link w:val="BalloonTextChar"/>
    <w:unhideWhenUsed/>
    <w:rsid w:val="00391D9A"/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rsid w:val="00391D9A"/>
    <w:rPr>
      <w:rFonts w:ascii="Segoe UI" w:hAnsi="Segoe UI" w:cs="Segoe UI"/>
      <w:sz w:val="18"/>
      <w:szCs w:val="18"/>
    </w:rPr>
  </w:style>
  <w:style w:type="paragraph" w:customStyle="1" w:styleId="RollCallSymbols14pt">
    <w:name w:val="RollCallSymbols14pt"/>
    <w:basedOn w:val="Normal"/>
    <w:rsid w:val="00391D9A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391D9A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391D9A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391D9A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Default">
    <w:name w:val="Default"/>
    <w:uiPriority w:val="99"/>
    <w:rsid w:val="00391D9A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391D9A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Footer">
    <w:name w:val="footer"/>
    <w:basedOn w:val="Normal"/>
    <w:link w:val="FooterChar"/>
    <w:rsid w:val="00391D9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91D9A"/>
    <w:rPr>
      <w:sz w:val="24"/>
      <w:lang w:val="cs-CZ"/>
    </w:rPr>
  </w:style>
  <w:style w:type="character" w:customStyle="1" w:styleId="Hyperlink1">
    <w:name w:val="Hyperlink1"/>
    <w:basedOn w:val="DefaultParagraphFont"/>
    <w:uiPriority w:val="99"/>
    <w:unhideWhenUsed/>
    <w:rsid w:val="005660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3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</Words>
  <Characters>2153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KONOPKOVA Jindra</cp:lastModifiedBy>
  <cp:revision>2</cp:revision>
  <cp:lastPrinted>2004-11-19T15:42:00Z</cp:lastPrinted>
  <dcterms:created xsi:type="dcterms:W3CDTF">2026-04-13T16:27:00Z</dcterms:created>
  <dcterms:modified xsi:type="dcterms:W3CDTF">2026-04-13T16:27:00Z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P10_TA(2026)0031_</vt:lpwstr>
  </property>
  <property fmtid="{D5CDD505-2E9C-101B-9397-08002B2CF9AE}" pid="4" name="&lt;Type&gt;">
    <vt:lpwstr>RR</vt:lpwstr>
  </property>
</Properties>
</file>