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5512" w14:paraId="1041A481" w14:textId="77777777" w:rsidTr="0010095E">
        <w:trPr>
          <w:trHeight w:hRule="exact" w:val="1418"/>
        </w:trPr>
        <w:tc>
          <w:tcPr>
            <w:tcW w:w="6804" w:type="dxa"/>
            <w:shd w:val="clear" w:color="auto" w:fill="auto"/>
            <w:vAlign w:val="center"/>
          </w:tcPr>
          <w:p w14:paraId="037EA549" w14:textId="77777777" w:rsidR="00751A4A" w:rsidRPr="00ED5512" w:rsidRDefault="006C2F3B" w:rsidP="0010095E">
            <w:pPr>
              <w:pStyle w:val="EPName"/>
            </w:pPr>
            <w:r w:rsidRPr="00ED5512">
              <w:t>Parlement européen</w:t>
            </w:r>
          </w:p>
          <w:p w14:paraId="2C979CF0" w14:textId="77777777" w:rsidR="00751A4A" w:rsidRPr="00ED5512" w:rsidRDefault="005F1B17" w:rsidP="005F1B17">
            <w:pPr>
              <w:pStyle w:val="EPTerm"/>
              <w:rPr>
                <w:rStyle w:val="HideTWBExt"/>
                <w:noProof w:val="0"/>
                <w:vanish w:val="0"/>
                <w:color w:val="auto"/>
              </w:rPr>
            </w:pPr>
            <w:r w:rsidRPr="00ED5512">
              <w:t>2024</w:t>
            </w:r>
            <w:r w:rsidR="00817416" w:rsidRPr="00ED5512">
              <w:t>-202</w:t>
            </w:r>
            <w:r w:rsidRPr="00ED5512">
              <w:t>9</w:t>
            </w:r>
          </w:p>
        </w:tc>
        <w:tc>
          <w:tcPr>
            <w:tcW w:w="2268" w:type="dxa"/>
            <w:shd w:val="clear" w:color="auto" w:fill="auto"/>
          </w:tcPr>
          <w:p w14:paraId="4F6C7E99" w14:textId="77777777" w:rsidR="00751A4A" w:rsidRPr="00ED5512" w:rsidRDefault="00187494" w:rsidP="0010095E">
            <w:pPr>
              <w:pStyle w:val="EPLogo"/>
            </w:pPr>
            <w:r w:rsidRPr="00ED5512">
              <w:rPr>
                <w:noProof/>
                <w:lang w:eastAsia="ja-JP"/>
              </w:rPr>
              <w:drawing>
                <wp:inline distT="0" distB="0" distL="0" distR="0" wp14:anchorId="48B37BD7" wp14:editId="28A2C8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509213" w14:textId="77777777" w:rsidR="00D058B8" w:rsidRPr="00ED5512" w:rsidRDefault="00D058B8" w:rsidP="004C5D52">
      <w:pPr>
        <w:pStyle w:val="LineTop"/>
      </w:pPr>
    </w:p>
    <w:p w14:paraId="4B00B8FF" w14:textId="77777777" w:rsidR="00680577" w:rsidRPr="00ED5512" w:rsidRDefault="006C2F3B" w:rsidP="00680577">
      <w:pPr>
        <w:pStyle w:val="EPBodyTA1"/>
      </w:pPr>
      <w:r w:rsidRPr="00ED5512">
        <w:t>TEXTES ADOPTÉS</w:t>
      </w:r>
    </w:p>
    <w:p w14:paraId="75C5DD29" w14:textId="77777777" w:rsidR="00D058B8" w:rsidRPr="00ED5512" w:rsidRDefault="00D058B8" w:rsidP="00D058B8">
      <w:pPr>
        <w:pStyle w:val="LineBottom"/>
      </w:pPr>
    </w:p>
    <w:p w14:paraId="42C25585" w14:textId="2CB1801B" w:rsidR="006C2F3B" w:rsidRPr="00ED5512" w:rsidRDefault="006C2F3B" w:rsidP="006C2F3B">
      <w:pPr>
        <w:pStyle w:val="ATHeading1"/>
      </w:pPr>
      <w:bookmarkStart w:id="0" w:name="TANumber"/>
      <w:r w:rsidRPr="00ED5512">
        <w:t>P10_TA(2026)00</w:t>
      </w:r>
      <w:r w:rsidR="00281ADE">
        <w:t>33</w:t>
      </w:r>
      <w:bookmarkEnd w:id="0"/>
    </w:p>
    <w:p w14:paraId="3457B140" w14:textId="77777777" w:rsidR="006C2F3B" w:rsidRPr="00ED5512" w:rsidRDefault="006C2F3B" w:rsidP="006C2F3B">
      <w:pPr>
        <w:pStyle w:val="ATHeading2"/>
      </w:pPr>
      <w:bookmarkStart w:id="1" w:name="title"/>
      <w:r w:rsidRPr="00ED5512">
        <w:t>Nomination du vice-président du conseil de surveillance de la Banque centrale européenne</w:t>
      </w:r>
      <w:bookmarkEnd w:id="1"/>
    </w:p>
    <w:p w14:paraId="2337A73D" w14:textId="77777777" w:rsidR="006C2F3B" w:rsidRPr="00ED5512" w:rsidRDefault="006C2F3B" w:rsidP="006C2F3B">
      <w:pPr>
        <w:rPr>
          <w:i/>
          <w:vanish/>
        </w:rPr>
      </w:pPr>
      <w:r w:rsidRPr="00ED5512">
        <w:rPr>
          <w:i/>
        </w:rPr>
        <w:fldChar w:fldCharType="begin"/>
      </w:r>
      <w:r w:rsidRPr="00ED5512">
        <w:rPr>
          <w:i/>
        </w:rPr>
        <w:instrText xml:space="preserve"> TC"(</w:instrText>
      </w:r>
      <w:bookmarkStart w:id="2" w:name="DocNumber"/>
      <w:r w:rsidRPr="00ED5512">
        <w:rPr>
          <w:i/>
        </w:rPr>
        <w:instrText>A10-0008/2026</w:instrText>
      </w:r>
      <w:bookmarkEnd w:id="2"/>
      <w:r w:rsidRPr="00ED5512">
        <w:rPr>
          <w:i/>
        </w:rPr>
        <w:instrText xml:space="preserve"> - Rapporteure: Aurore Lalucq)"\l3 \n&gt; \* MERGEFORMAT </w:instrText>
      </w:r>
      <w:r w:rsidRPr="00ED5512">
        <w:rPr>
          <w:i/>
        </w:rPr>
        <w:fldChar w:fldCharType="end"/>
      </w:r>
    </w:p>
    <w:p w14:paraId="29179179" w14:textId="77777777" w:rsidR="006C2F3B" w:rsidRPr="00ED5512" w:rsidRDefault="006C2F3B" w:rsidP="006C2F3B">
      <w:pPr>
        <w:rPr>
          <w:vanish/>
        </w:rPr>
      </w:pPr>
      <w:bookmarkStart w:id="3" w:name="Commission"/>
      <w:r w:rsidRPr="00ED5512">
        <w:rPr>
          <w:vanish/>
        </w:rPr>
        <w:t>Commission des affaires économiques et monétaires</w:t>
      </w:r>
      <w:bookmarkEnd w:id="3"/>
    </w:p>
    <w:p w14:paraId="08349F49" w14:textId="77777777" w:rsidR="006C2F3B" w:rsidRPr="00ED5512" w:rsidRDefault="006C2F3B" w:rsidP="006C2F3B">
      <w:pPr>
        <w:rPr>
          <w:vanish/>
        </w:rPr>
      </w:pPr>
      <w:bookmarkStart w:id="4" w:name="PE"/>
      <w:r w:rsidRPr="00ED5512">
        <w:rPr>
          <w:vanish/>
        </w:rPr>
        <w:t>PE782.289</w:t>
      </w:r>
      <w:bookmarkEnd w:id="4"/>
    </w:p>
    <w:p w14:paraId="65CF5C34" w14:textId="11C329E8" w:rsidR="006C2F3B" w:rsidRPr="00ED5512" w:rsidRDefault="006C2F3B" w:rsidP="006C2F3B">
      <w:pPr>
        <w:pStyle w:val="ATHeading3"/>
      </w:pPr>
      <w:bookmarkStart w:id="5" w:name="Sujet"/>
      <w:r w:rsidRPr="00ED5512">
        <w:t xml:space="preserve">Décision du Parlement européen du </w:t>
      </w:r>
      <w:r w:rsidR="007E4260">
        <w:t>1</w:t>
      </w:r>
      <w:r w:rsidR="00281ADE">
        <w:t>0</w:t>
      </w:r>
      <w:r w:rsidR="007E4260">
        <w:t xml:space="preserve"> février</w:t>
      </w:r>
      <w:r w:rsidRPr="00ED5512">
        <w:t xml:space="preserve"> 2026 sur la proposition de la Banque centrale européenne concernant la nomination du vice-président de son conseil de surveillance</w:t>
      </w:r>
      <w:bookmarkEnd w:id="5"/>
      <w:r w:rsidRPr="00ED5512">
        <w:t xml:space="preserve"> </w:t>
      </w:r>
      <w:bookmarkStart w:id="6" w:name="References"/>
      <w:r w:rsidRPr="00ED5512">
        <w:t>(N10-0080/2025 – C10-0366/2025 – 2025/0906(NLE))</w:t>
      </w:r>
      <w:bookmarkEnd w:id="6"/>
    </w:p>
    <w:p w14:paraId="26836006" w14:textId="77777777" w:rsidR="0085612B" w:rsidRPr="00ED5512" w:rsidRDefault="0085612B" w:rsidP="0085612B">
      <w:pPr>
        <w:pStyle w:val="NormalBold"/>
      </w:pPr>
      <w:r w:rsidRPr="00ED5512">
        <w:t>(Approbation)</w:t>
      </w:r>
    </w:p>
    <w:p w14:paraId="190781E6" w14:textId="77777777" w:rsidR="0085612B" w:rsidRPr="00ED5512" w:rsidRDefault="0085612B" w:rsidP="0085612B">
      <w:pPr>
        <w:pStyle w:val="EPComma"/>
      </w:pPr>
      <w:r w:rsidRPr="00ED5512">
        <w:rPr>
          <w:i/>
        </w:rPr>
        <w:t>Le Parlement européen</w:t>
      </w:r>
      <w:r w:rsidRPr="00ED5512">
        <w:t>,</w:t>
      </w:r>
    </w:p>
    <w:p w14:paraId="500F257A" w14:textId="77777777" w:rsidR="0085612B" w:rsidRPr="00ED5512" w:rsidRDefault="0085612B" w:rsidP="0085612B">
      <w:pPr>
        <w:spacing w:after="240"/>
        <w:ind w:left="567" w:hanging="567"/>
      </w:pPr>
      <w:r w:rsidRPr="00ED5512">
        <w:t>–</w:t>
      </w:r>
      <w:r w:rsidRPr="00ED5512">
        <w:tab/>
        <w:t>vu la proposition de la Banque centrale européenne du 17 décembre 2025 concernant la nomination du vice-président de son conseil de surveillance (C10-0366/2025),</w:t>
      </w:r>
    </w:p>
    <w:p w14:paraId="701D99C0" w14:textId="77777777" w:rsidR="0085612B" w:rsidRPr="00ED5512" w:rsidRDefault="0085612B" w:rsidP="0085612B">
      <w:pPr>
        <w:spacing w:after="240"/>
        <w:ind w:left="567" w:hanging="567"/>
      </w:pPr>
      <w:r w:rsidRPr="00ED5512">
        <w:t>–</w:t>
      </w:r>
      <w:r w:rsidRPr="00ED5512">
        <w:tab/>
        <w:t>vu l’article 26, paragraphe 3, du règlement (UE) nº 1024/2013 du Conseil du 15 octobre 2013 confiant à la Banque centrale européenne des missions spécifiques ayant trait aux politiques en matière de surveillance prudentielle des établissements de crédit</w:t>
      </w:r>
      <w:r w:rsidRPr="00ED5512">
        <w:rPr>
          <w:rStyle w:val="FootnoteReference"/>
        </w:rPr>
        <w:footnoteReference w:id="1"/>
      </w:r>
      <w:r w:rsidRPr="00ED5512">
        <w:t>,</w:t>
      </w:r>
    </w:p>
    <w:p w14:paraId="3AA05230" w14:textId="77777777" w:rsidR="0085612B" w:rsidRPr="00ED5512" w:rsidRDefault="0085612B" w:rsidP="0085612B">
      <w:pPr>
        <w:spacing w:after="240"/>
        <w:ind w:left="567" w:hanging="709"/>
      </w:pPr>
      <w:r w:rsidRPr="00ED5512">
        <w:t>–</w:t>
      </w:r>
      <w:r w:rsidRPr="00ED5512">
        <w:tab/>
        <w:t>vu l’accord interinstitutionnel entre le Parlement européen et la Banque centrale européenne sur les modalités pratiques de l’exercice de la responsabilité démocratique et du suivi de l’accomplissement, par la BCE, des missions qui lui sont confiées dans le cadre du mécanisme de surveillance unique</w:t>
      </w:r>
      <w:r w:rsidRPr="00ED5512">
        <w:rPr>
          <w:rStyle w:val="FootnoteReference"/>
        </w:rPr>
        <w:footnoteReference w:id="2"/>
      </w:r>
      <w:r w:rsidRPr="00ED5512">
        <w:t>,</w:t>
      </w:r>
    </w:p>
    <w:p w14:paraId="337DC398" w14:textId="77777777" w:rsidR="0085612B" w:rsidRPr="00ED5512" w:rsidRDefault="0085612B" w:rsidP="0085612B">
      <w:pPr>
        <w:spacing w:after="240"/>
        <w:ind w:left="567" w:hanging="709"/>
      </w:pPr>
      <w:r w:rsidRPr="00ED5512">
        <w:t>–</w:t>
      </w:r>
      <w:r w:rsidRPr="00ED5512">
        <w:tab/>
        <w:t>vu sa résolution du 14 mars 2019 sur l’équilibre hommes-femmes dans les nominations dans le domaine des affaires économiques et monétaires de l’UE</w:t>
      </w:r>
      <w:r w:rsidRPr="00ED5512">
        <w:rPr>
          <w:rStyle w:val="FootnoteReference"/>
        </w:rPr>
        <w:footnoteReference w:id="3"/>
      </w:r>
      <w:r w:rsidRPr="00ED5512">
        <w:t>,</w:t>
      </w:r>
    </w:p>
    <w:p w14:paraId="7AC574FC" w14:textId="77777777" w:rsidR="0085612B" w:rsidRPr="00ED5512" w:rsidRDefault="0085612B" w:rsidP="0085612B">
      <w:pPr>
        <w:spacing w:after="240"/>
        <w:ind w:left="567" w:hanging="709"/>
        <w:rPr>
          <w:b/>
        </w:rPr>
      </w:pPr>
      <w:r w:rsidRPr="00ED5512">
        <w:t>–</w:t>
      </w:r>
      <w:r w:rsidRPr="00ED5512">
        <w:tab/>
        <w:t>vu sa résolution du 16 janvier 2020 sur les institutions et organes de l’Union économique et monétaire: éviter les conflits d’intérêts dans l’après-mandat</w:t>
      </w:r>
      <w:r w:rsidRPr="00ED5512">
        <w:rPr>
          <w:rStyle w:val="FootnoteReference"/>
        </w:rPr>
        <w:footnoteReference w:id="4"/>
      </w:r>
      <w:r w:rsidRPr="00ED5512">
        <w:t>,</w:t>
      </w:r>
    </w:p>
    <w:p w14:paraId="0425CE6D" w14:textId="77777777" w:rsidR="0085612B" w:rsidRPr="00ED5512" w:rsidRDefault="0085612B" w:rsidP="0085612B">
      <w:pPr>
        <w:spacing w:after="240"/>
        <w:ind w:left="567" w:hanging="567"/>
      </w:pPr>
      <w:r w:rsidRPr="00ED5512">
        <w:t>–</w:t>
      </w:r>
      <w:r w:rsidRPr="00ED5512">
        <w:tab/>
        <w:t>vu l’article 135 de son règlement intérieur,</w:t>
      </w:r>
    </w:p>
    <w:p w14:paraId="396CEE36" w14:textId="77777777" w:rsidR="0085612B" w:rsidRPr="00ED5512" w:rsidRDefault="0085612B" w:rsidP="0085612B">
      <w:pPr>
        <w:pStyle w:val="NormalHanging12a"/>
      </w:pPr>
      <w:r w:rsidRPr="00ED5512">
        <w:t>–</w:t>
      </w:r>
      <w:r w:rsidRPr="00ED5512">
        <w:tab/>
        <w:t>vu le rapport de la commission des affaires économiques et monétaires (A10</w:t>
      </w:r>
      <w:r w:rsidRPr="00ED5512">
        <w:noBreakHyphen/>
        <w:t>0008/2026),</w:t>
      </w:r>
    </w:p>
    <w:p w14:paraId="22FB5374" w14:textId="77777777" w:rsidR="0085612B" w:rsidRPr="00ED5512" w:rsidRDefault="0085612B" w:rsidP="0085612B">
      <w:pPr>
        <w:pStyle w:val="NormalHanging12a"/>
      </w:pPr>
      <w:r w:rsidRPr="00ED5512">
        <w:lastRenderedPageBreak/>
        <w:t>A.</w:t>
      </w:r>
      <w:r w:rsidRPr="00ED5512">
        <w:tab/>
        <w:t>considérant que l’article 26, paragraphe 3, du règlement (UE) n</w:t>
      </w:r>
      <w:r w:rsidRPr="00ED5512">
        <w:rPr>
          <w:vertAlign w:val="superscript"/>
        </w:rPr>
        <w:t>o</w:t>
      </w:r>
      <w:r w:rsidRPr="00ED5512">
        <w:t> 1024/2013 dispose que la Banque centrale européenne (BCE) soumet au Parlement européen, pour approbation, une proposition de nomination du vice-président de son conseil de surveillance;</w:t>
      </w:r>
    </w:p>
    <w:p w14:paraId="1EBD47B5" w14:textId="77777777" w:rsidR="0085612B" w:rsidRPr="00ED5512" w:rsidRDefault="0085612B" w:rsidP="0085612B">
      <w:pPr>
        <w:pStyle w:val="NormalHanging12a"/>
      </w:pPr>
      <w:r w:rsidRPr="00ED5512">
        <w:t>B.</w:t>
      </w:r>
      <w:r w:rsidRPr="00ED5512">
        <w:tab/>
        <w:t>considérant que le vice-président du conseil de surveillance est choisi parmi les membres du directoire de la BCE;</w:t>
      </w:r>
    </w:p>
    <w:p w14:paraId="5E74B7EE" w14:textId="77777777" w:rsidR="0085612B" w:rsidRPr="00ED5512" w:rsidRDefault="0085612B" w:rsidP="0085612B">
      <w:pPr>
        <w:pStyle w:val="NormalHanging12a"/>
      </w:pPr>
      <w:r w:rsidRPr="00ED5512">
        <w:t>C.</w:t>
      </w:r>
      <w:r w:rsidRPr="00ED5512">
        <w:tab/>
        <w:t>considérant que l’article 26, paragraphe 2, du règlement (UE) n</w:t>
      </w:r>
      <w:r w:rsidRPr="00ED5512">
        <w:rPr>
          <w:vertAlign w:val="superscript"/>
        </w:rPr>
        <w:t>o</w:t>
      </w:r>
      <w:r w:rsidRPr="00ED5512">
        <w:t> 1024/2013 dispose que les nominations au conseil de surveillance prévues par ce règlement «respectent le principe d’égalité entre hommes et femmes et tiennent compte de l’expérience et des qualifications»;</w:t>
      </w:r>
    </w:p>
    <w:p w14:paraId="3EC102BF" w14:textId="77777777" w:rsidR="0085612B" w:rsidRPr="00ED5512" w:rsidRDefault="0085612B" w:rsidP="0085612B">
      <w:pPr>
        <w:pStyle w:val="NormalHanging12a"/>
      </w:pPr>
      <w:r w:rsidRPr="00ED5512">
        <w:t>D.</w:t>
      </w:r>
      <w:r w:rsidRPr="00ED5512">
        <w:tab/>
        <w:t>considérant que le Parlement s’est engagé à garantir l’équilibre entre les hommes et les femmes aux postes de haut niveau dans le domaine des services bancaires et financiers; que tous les organes et institutions de l’Union et des États membres devraient mettre en œuvre des mesures concrètes afin de garantir l’équilibre entre les hommes et les femmes;</w:t>
      </w:r>
    </w:p>
    <w:p w14:paraId="0D9338B3" w14:textId="77777777" w:rsidR="0085612B" w:rsidRPr="00ED5512" w:rsidRDefault="0085612B" w:rsidP="0085612B">
      <w:pPr>
        <w:pStyle w:val="NormalHanging12a"/>
      </w:pPr>
      <w:r w:rsidRPr="00ED5512">
        <w:t>E.</w:t>
      </w:r>
      <w:r w:rsidRPr="00ED5512">
        <w:tab/>
        <w:t>considérant que, le 10 décembre 2020</w:t>
      </w:r>
      <w:r w:rsidRPr="00ED5512">
        <w:rPr>
          <w:vertAlign w:val="superscript"/>
        </w:rPr>
        <w:footnoteReference w:id="5"/>
      </w:r>
      <w:r w:rsidRPr="00ED5512">
        <w:t>, le Conseil européen a nommé Frank </w:t>
      </w:r>
      <w:proofErr w:type="spellStart"/>
      <w:r w:rsidRPr="00ED5512">
        <w:t>Elderson</w:t>
      </w:r>
      <w:proofErr w:type="spellEnd"/>
      <w:r w:rsidRPr="00ED5512">
        <w:t xml:space="preserve"> membre du directoire de la BCE pour un mandat de huit ans à compter du 15 décembre 2020, conformément à l’article 283, paragraphe 2, du traité sur le fonctionnement de l’Union européenne;</w:t>
      </w:r>
    </w:p>
    <w:p w14:paraId="63F2E04D" w14:textId="3A555DC4" w:rsidR="0085612B" w:rsidRPr="00ED5512" w:rsidRDefault="0085612B" w:rsidP="0085612B">
      <w:pPr>
        <w:pStyle w:val="NormalHanging12a"/>
      </w:pPr>
      <w:r w:rsidRPr="00ED5512">
        <w:t>F.</w:t>
      </w:r>
      <w:r w:rsidRPr="00ED5512">
        <w:tab/>
        <w:t>considérant que, le 22 février 2021</w:t>
      </w:r>
      <w:r w:rsidRPr="00ED5512">
        <w:rPr>
          <w:vertAlign w:val="superscript"/>
        </w:rPr>
        <w:footnoteReference w:id="6"/>
      </w:r>
      <w:r w:rsidRPr="00ED5512">
        <w:t>, le Conseil a nommé Frank </w:t>
      </w:r>
      <w:proofErr w:type="spellStart"/>
      <w:r w:rsidRPr="00ED5512">
        <w:t>Elderson</w:t>
      </w:r>
      <w:proofErr w:type="spellEnd"/>
      <w:r w:rsidRPr="00ED5512">
        <w:t xml:space="preserve"> vice</w:t>
      </w:r>
      <w:r w:rsidRPr="00ED5512">
        <w:noBreakHyphen/>
        <w:t>président du conseil de surveillance de la BCE pour une période de cinq ans à compter du 24 février 2021;</w:t>
      </w:r>
    </w:p>
    <w:p w14:paraId="7793C96E" w14:textId="77777777" w:rsidR="0085612B" w:rsidRPr="00ED5512" w:rsidRDefault="0085612B" w:rsidP="0085612B">
      <w:pPr>
        <w:pStyle w:val="NormalHanging12a"/>
      </w:pPr>
      <w:r w:rsidRPr="00ED5512">
        <w:t>G.</w:t>
      </w:r>
      <w:r w:rsidRPr="00ED5512">
        <w:tab/>
        <w:t>considérant que, par lettre du 17 décembre 2025, la BCE a présenté au Parlement une proposition visant à prolonger le mandat de Frank </w:t>
      </w:r>
      <w:proofErr w:type="spellStart"/>
      <w:r w:rsidRPr="00ED5512">
        <w:t>Elderson</w:t>
      </w:r>
      <w:proofErr w:type="spellEnd"/>
      <w:r w:rsidRPr="00ED5512">
        <w:t xml:space="preserve"> en tant que vice-président du conseil de surveillance de la BCE, jusqu’à la fin de son mandat de membre du directoire de la BCE;</w:t>
      </w:r>
    </w:p>
    <w:p w14:paraId="7BA36A88" w14:textId="77777777" w:rsidR="0085612B" w:rsidRPr="00ED5512" w:rsidRDefault="0085612B" w:rsidP="0085612B">
      <w:pPr>
        <w:pStyle w:val="NormalHanging12a"/>
      </w:pPr>
      <w:r w:rsidRPr="00ED5512">
        <w:t>H.</w:t>
      </w:r>
      <w:r w:rsidRPr="00ED5512">
        <w:tab/>
        <w:t>considérant que la commission des affaires économiques et monétaires du Parlement a ensuite évalué les qualifications du candidat proposé, en particulier au regard des conditions énoncées à l’article 26, paragraphes 2 et 3, du règlement (UE) nº 1024/2013 du Conseil;</w:t>
      </w:r>
    </w:p>
    <w:p w14:paraId="473AE110" w14:textId="77777777" w:rsidR="0085612B" w:rsidRPr="00ED5512" w:rsidRDefault="0085612B" w:rsidP="0085612B">
      <w:pPr>
        <w:pStyle w:val="NormalHanging12a"/>
      </w:pPr>
      <w:r w:rsidRPr="00ED5512">
        <w:t>I.</w:t>
      </w:r>
      <w:r w:rsidRPr="00ED5512">
        <w:tab/>
        <w:t>considérant que la commission a procédé, le 28 janvier 2026, à une audition du candidat proposé, au cours de laquelle celui-ci a fait une déclaration liminaire, puis a répondu aux questions des membres de la commission;</w:t>
      </w:r>
    </w:p>
    <w:p w14:paraId="61425C7B" w14:textId="77777777" w:rsidR="0085612B" w:rsidRPr="00ED5512" w:rsidRDefault="0085612B" w:rsidP="0085612B">
      <w:pPr>
        <w:spacing w:after="240"/>
        <w:ind w:left="567" w:hanging="567"/>
      </w:pPr>
      <w:r w:rsidRPr="00ED5512">
        <w:t>1.</w:t>
      </w:r>
      <w:r w:rsidRPr="00ED5512">
        <w:tab/>
        <w:t xml:space="preserve">approuve la nomination de Frank </w:t>
      </w:r>
      <w:proofErr w:type="spellStart"/>
      <w:r w:rsidRPr="00ED5512">
        <w:t>Elderson</w:t>
      </w:r>
      <w:proofErr w:type="spellEnd"/>
      <w:r w:rsidRPr="00ED5512">
        <w:t xml:space="preserve"> en tant que vice-président du conseil de surveillance de la Banque centrale européenne;</w:t>
      </w:r>
    </w:p>
    <w:p w14:paraId="49E2B8CB" w14:textId="288CDA6F" w:rsidR="00ED5512" w:rsidRPr="00ED5512" w:rsidRDefault="0085612B" w:rsidP="00ED5512">
      <w:pPr>
        <w:spacing w:after="240"/>
        <w:ind w:left="567" w:hanging="567"/>
      </w:pPr>
      <w:r w:rsidRPr="00ED5512">
        <w:lastRenderedPageBreak/>
        <w:t>2.</w:t>
      </w:r>
      <w:r w:rsidRPr="00ED5512">
        <w:tab/>
        <w:t>charge sa Présidente de transmettre la présente décision au Conseil, à la Commission, à la Banque centrale européenne ainsi qu’aux gouvernements des États membres.</w:t>
      </w:r>
    </w:p>
    <w:p w14:paraId="58F15962" w14:textId="76A4313D" w:rsidR="00E365E1" w:rsidRPr="00ED5512" w:rsidRDefault="00E365E1" w:rsidP="006C2F3B"/>
    <w:sectPr w:rsidR="00E365E1" w:rsidRPr="00ED5512" w:rsidSect="00ED5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34EDD" w14:textId="77777777" w:rsidR="006C2F3B" w:rsidRPr="00ED5512" w:rsidRDefault="006C2F3B">
      <w:r w:rsidRPr="00ED5512">
        <w:separator/>
      </w:r>
    </w:p>
  </w:endnote>
  <w:endnote w:type="continuationSeparator" w:id="0">
    <w:p w14:paraId="6C875F02" w14:textId="77777777" w:rsidR="006C2F3B" w:rsidRPr="00ED5512" w:rsidRDefault="006C2F3B">
      <w:r w:rsidRPr="00ED55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D12C" w14:textId="77777777" w:rsidR="00064002" w:rsidRPr="00ED55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AF081" w14:textId="77777777" w:rsidR="00064002" w:rsidRPr="00ED55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17522" w14:textId="77777777" w:rsidR="00064002" w:rsidRPr="00ED55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CD446" w14:textId="77777777" w:rsidR="006C2F3B" w:rsidRPr="00ED5512" w:rsidRDefault="006C2F3B">
      <w:r w:rsidRPr="00ED5512">
        <w:separator/>
      </w:r>
    </w:p>
  </w:footnote>
  <w:footnote w:type="continuationSeparator" w:id="0">
    <w:p w14:paraId="1306CD10" w14:textId="77777777" w:rsidR="006C2F3B" w:rsidRPr="00ED5512" w:rsidRDefault="006C2F3B">
      <w:r w:rsidRPr="00ED5512">
        <w:continuationSeparator/>
      </w:r>
    </w:p>
  </w:footnote>
  <w:footnote w:id="1">
    <w:p w14:paraId="13C2CBDB" w14:textId="305C87F8" w:rsidR="0085612B" w:rsidRPr="008F7EC3" w:rsidRDefault="0085612B" w:rsidP="00ED5512">
      <w:pPr>
        <w:pStyle w:val="FootnoteText"/>
        <w:ind w:left="567" w:hanging="567"/>
        <w:rPr>
          <w:sz w:val="24"/>
          <w:lang w:val="da-DK"/>
        </w:rPr>
      </w:pPr>
      <w:r w:rsidRPr="00ED5512">
        <w:rPr>
          <w:rStyle w:val="FootnoteReference"/>
          <w:sz w:val="24"/>
        </w:rPr>
        <w:footnoteRef/>
      </w:r>
      <w:r w:rsidR="00ED5512" w:rsidRPr="008F7EC3">
        <w:rPr>
          <w:sz w:val="24"/>
          <w:lang w:val="da-DK"/>
        </w:rPr>
        <w:t xml:space="preserve"> </w:t>
      </w:r>
      <w:r w:rsidR="00ED5512" w:rsidRPr="008F7EC3">
        <w:rPr>
          <w:sz w:val="24"/>
          <w:lang w:val="da-DK"/>
        </w:rPr>
        <w:tab/>
      </w:r>
      <w:r w:rsidRPr="008F7EC3">
        <w:rPr>
          <w:sz w:val="24"/>
          <w:lang w:val="da-DK"/>
        </w:rPr>
        <w:t>JO L 287 du 29.10.2013, p. 63, ELI: </w:t>
      </w:r>
      <w:hyperlink r:id="rId1" w:tooltip="Permet d’accéder à ce document via son adresse URI ELI." w:history="1">
        <w:r w:rsidRPr="008F7EC3">
          <w:rPr>
            <w:rStyle w:val="Hyperlink"/>
            <w:sz w:val="24"/>
            <w:lang w:val="da-DK"/>
          </w:rPr>
          <w:t>http://data.europa.eu/eli/reg/2013/1024/oj</w:t>
        </w:r>
      </w:hyperlink>
      <w:r w:rsidRPr="008F7EC3">
        <w:rPr>
          <w:sz w:val="24"/>
          <w:lang w:val="da-DK"/>
        </w:rPr>
        <w:t>.</w:t>
      </w:r>
    </w:p>
  </w:footnote>
  <w:footnote w:id="2">
    <w:p w14:paraId="33134DC7" w14:textId="69809F9B" w:rsidR="0085612B" w:rsidRPr="008F7EC3" w:rsidRDefault="0085612B" w:rsidP="00ED5512">
      <w:pPr>
        <w:pStyle w:val="FootnoteText"/>
        <w:ind w:left="567" w:hanging="567"/>
        <w:rPr>
          <w:sz w:val="24"/>
          <w:lang w:val="da-DK"/>
        </w:rPr>
      </w:pPr>
      <w:r w:rsidRPr="00ED5512">
        <w:rPr>
          <w:rStyle w:val="FootnoteReference"/>
          <w:sz w:val="24"/>
        </w:rPr>
        <w:footnoteRef/>
      </w:r>
      <w:r w:rsidR="00ED5512" w:rsidRPr="008F7EC3">
        <w:rPr>
          <w:sz w:val="24"/>
          <w:lang w:val="da-DK"/>
        </w:rPr>
        <w:t xml:space="preserve"> </w:t>
      </w:r>
      <w:r w:rsidR="00ED5512" w:rsidRPr="008F7EC3">
        <w:rPr>
          <w:sz w:val="24"/>
          <w:lang w:val="da-DK"/>
        </w:rPr>
        <w:tab/>
      </w:r>
      <w:r w:rsidRPr="008F7EC3">
        <w:rPr>
          <w:sz w:val="24"/>
          <w:lang w:val="da-DK"/>
        </w:rPr>
        <w:t>JO L 320 du 30.11.2013, p. 1, ELI: </w:t>
      </w:r>
      <w:hyperlink r:id="rId2" w:tooltip="Permet d’accéder à ce document via son adresse URI ELI." w:history="1">
        <w:r w:rsidRPr="008F7EC3">
          <w:rPr>
            <w:rStyle w:val="Hyperlink"/>
            <w:sz w:val="24"/>
            <w:lang w:val="da-DK"/>
          </w:rPr>
          <w:t>http://data.europa.eu/eli/agree_interinstit/2013/1130/oj</w:t>
        </w:r>
      </w:hyperlink>
      <w:r w:rsidRPr="008F7EC3">
        <w:rPr>
          <w:sz w:val="24"/>
          <w:lang w:val="da-DK"/>
        </w:rPr>
        <w:t>.</w:t>
      </w:r>
    </w:p>
  </w:footnote>
  <w:footnote w:id="3">
    <w:p w14:paraId="069B8E22" w14:textId="43AD031E" w:rsidR="0085612B" w:rsidRPr="008F7EC3" w:rsidRDefault="0085612B" w:rsidP="00ED5512">
      <w:pPr>
        <w:pStyle w:val="FootnoteText"/>
        <w:ind w:left="567" w:hanging="567"/>
        <w:rPr>
          <w:sz w:val="24"/>
          <w:lang w:val="da-DK"/>
        </w:rPr>
      </w:pPr>
      <w:r w:rsidRPr="00ED5512">
        <w:rPr>
          <w:rStyle w:val="FootnoteReference"/>
          <w:sz w:val="24"/>
        </w:rPr>
        <w:footnoteRef/>
      </w:r>
      <w:r w:rsidR="00ED5512" w:rsidRPr="008F7EC3">
        <w:rPr>
          <w:sz w:val="24"/>
          <w:lang w:val="da-DK"/>
        </w:rPr>
        <w:t xml:space="preserve"> </w:t>
      </w:r>
      <w:r w:rsidR="00ED5512" w:rsidRPr="008F7EC3">
        <w:rPr>
          <w:sz w:val="24"/>
          <w:lang w:val="da-DK"/>
        </w:rPr>
        <w:tab/>
      </w:r>
      <w:r w:rsidRPr="008F7EC3">
        <w:rPr>
          <w:sz w:val="24"/>
          <w:lang w:val="da-DK"/>
        </w:rPr>
        <w:t>JO C 23 du 21.1.2021, p. 105.</w:t>
      </w:r>
    </w:p>
  </w:footnote>
  <w:footnote w:id="4">
    <w:p w14:paraId="18A862BB" w14:textId="1CBFEC6A" w:rsidR="0085612B" w:rsidRPr="008F7EC3" w:rsidRDefault="0085612B" w:rsidP="00ED5512">
      <w:pPr>
        <w:pStyle w:val="FootnoteText"/>
        <w:ind w:left="567" w:hanging="567"/>
        <w:rPr>
          <w:sz w:val="24"/>
          <w:lang w:val="da-DK"/>
        </w:rPr>
      </w:pPr>
      <w:r w:rsidRPr="00ED5512">
        <w:rPr>
          <w:rStyle w:val="FootnoteReference"/>
          <w:sz w:val="24"/>
        </w:rPr>
        <w:footnoteRef/>
      </w:r>
      <w:r w:rsidR="00ED5512" w:rsidRPr="008F7EC3">
        <w:rPr>
          <w:sz w:val="24"/>
          <w:lang w:val="da-DK"/>
        </w:rPr>
        <w:t xml:space="preserve"> </w:t>
      </w:r>
      <w:r w:rsidR="00ED5512" w:rsidRPr="008F7EC3">
        <w:rPr>
          <w:sz w:val="24"/>
          <w:lang w:val="da-DK"/>
        </w:rPr>
        <w:tab/>
      </w:r>
      <w:r w:rsidRPr="008F7EC3">
        <w:rPr>
          <w:sz w:val="24"/>
          <w:lang w:val="da-DK"/>
        </w:rPr>
        <w:t>JO C 270 du 7.7.2021, p. 113.</w:t>
      </w:r>
    </w:p>
  </w:footnote>
  <w:footnote w:id="5">
    <w:p w14:paraId="0EE05224" w14:textId="53B2983C" w:rsidR="0085612B" w:rsidRPr="00ED5512" w:rsidRDefault="0085612B" w:rsidP="00ED5512">
      <w:pPr>
        <w:pStyle w:val="FootnoteText"/>
        <w:ind w:left="567" w:hanging="567"/>
        <w:rPr>
          <w:sz w:val="24"/>
        </w:rPr>
      </w:pPr>
      <w:r w:rsidRPr="00ED5512">
        <w:rPr>
          <w:rStyle w:val="FootnoteReference"/>
          <w:sz w:val="24"/>
        </w:rPr>
        <w:footnoteRef/>
      </w:r>
      <w:r w:rsidR="00ED5512" w:rsidRPr="00ED5512">
        <w:rPr>
          <w:sz w:val="24"/>
        </w:rPr>
        <w:t xml:space="preserve"> </w:t>
      </w:r>
      <w:r w:rsidR="00ED5512" w:rsidRPr="00ED5512">
        <w:rPr>
          <w:sz w:val="24"/>
        </w:rPr>
        <w:tab/>
      </w:r>
      <w:r w:rsidRPr="00ED5512">
        <w:rPr>
          <w:sz w:val="24"/>
        </w:rPr>
        <w:t>Décision (UE) 2020/2049 du Conseil européen du 10 décembre 2020 portant nomination d’un membre du directoire de la Banque centrale européenne (JO L 420</w:t>
      </w:r>
      <w:r w:rsidR="009F6FE3">
        <w:rPr>
          <w:sz w:val="24"/>
        </w:rPr>
        <w:t xml:space="preserve"> du</w:t>
      </w:r>
      <w:r w:rsidRPr="00ED5512">
        <w:rPr>
          <w:sz w:val="24"/>
        </w:rPr>
        <w:t xml:space="preserve"> 14.12.2020, p. 22, ELI: </w:t>
      </w:r>
      <w:hyperlink r:id="rId3" w:tooltip="Permet d’accéder à ce document via son adresse URI ELI." w:history="1">
        <w:r w:rsidRPr="00ED5512">
          <w:rPr>
            <w:rStyle w:val="Hyperlink"/>
            <w:sz w:val="24"/>
          </w:rPr>
          <w:t>http://data.europa.eu/eli/dec/2020/2049/oj</w:t>
        </w:r>
      </w:hyperlink>
      <w:r w:rsidRPr="00ED5512">
        <w:rPr>
          <w:sz w:val="24"/>
        </w:rPr>
        <w:t>).</w:t>
      </w:r>
    </w:p>
  </w:footnote>
  <w:footnote w:id="6">
    <w:p w14:paraId="4EBBD704" w14:textId="0DB33A23" w:rsidR="0085612B" w:rsidRPr="00ED5512" w:rsidRDefault="0085612B" w:rsidP="00ED5512">
      <w:pPr>
        <w:pStyle w:val="FootnoteText"/>
        <w:ind w:left="567" w:hanging="567"/>
        <w:rPr>
          <w:sz w:val="24"/>
        </w:rPr>
      </w:pPr>
      <w:r w:rsidRPr="00ED5512">
        <w:rPr>
          <w:rStyle w:val="FootnoteReference"/>
          <w:sz w:val="24"/>
        </w:rPr>
        <w:footnoteRef/>
      </w:r>
      <w:r w:rsidR="00ED5512" w:rsidRPr="00ED5512">
        <w:rPr>
          <w:sz w:val="24"/>
        </w:rPr>
        <w:t xml:space="preserve"> </w:t>
      </w:r>
      <w:r w:rsidR="00ED5512" w:rsidRPr="00ED5512">
        <w:rPr>
          <w:sz w:val="24"/>
        </w:rPr>
        <w:tab/>
      </w:r>
      <w:r w:rsidRPr="00ED5512">
        <w:rPr>
          <w:sz w:val="24"/>
        </w:rPr>
        <w:t>Décision d’exécution (UE) 2021/325 du Conseil du 22 février 2021 relative à la nomination du vice-président du conseil de surveillance de la Banque centrale européenne (JO L 64</w:t>
      </w:r>
      <w:r w:rsidR="009F6FE3">
        <w:rPr>
          <w:sz w:val="24"/>
        </w:rPr>
        <w:t xml:space="preserve"> du</w:t>
      </w:r>
      <w:r w:rsidRPr="00ED5512">
        <w:rPr>
          <w:sz w:val="24"/>
        </w:rPr>
        <w:t xml:space="preserve"> 24.2.2021, p. 6, ELI: </w:t>
      </w:r>
      <w:hyperlink r:id="rId4" w:tooltip="Permet d’accéder à ce document via son adresse URI ELI." w:history="1">
        <w:r w:rsidRPr="00ED5512">
          <w:rPr>
            <w:rStyle w:val="Hyperlink"/>
            <w:sz w:val="24"/>
          </w:rPr>
          <w:t>http://data.europa.eu/eli/dec_impl/2021/325/oj</w:t>
        </w:r>
      </w:hyperlink>
      <w:r w:rsidRPr="00ED5512">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EDDC3" w14:textId="77777777" w:rsidR="00064002" w:rsidRPr="00ED55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DC4C" w14:textId="77777777" w:rsidR="00064002" w:rsidRPr="00ED55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606D8" w14:textId="77777777" w:rsidR="00064002" w:rsidRPr="00ED55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5558487">
    <w:abstractNumId w:val="9"/>
  </w:num>
  <w:num w:numId="2" w16cid:durableId="71515720">
    <w:abstractNumId w:val="9"/>
  </w:num>
  <w:num w:numId="3" w16cid:durableId="444497339">
    <w:abstractNumId w:val="7"/>
  </w:num>
  <w:num w:numId="4" w16cid:durableId="1517958372">
    <w:abstractNumId w:val="7"/>
  </w:num>
  <w:num w:numId="5" w16cid:durableId="18434790">
    <w:abstractNumId w:val="6"/>
  </w:num>
  <w:num w:numId="6" w16cid:durableId="442305604">
    <w:abstractNumId w:val="6"/>
  </w:num>
  <w:num w:numId="7" w16cid:durableId="1437672974">
    <w:abstractNumId w:val="5"/>
  </w:num>
  <w:num w:numId="8" w16cid:durableId="1819805481">
    <w:abstractNumId w:val="5"/>
  </w:num>
  <w:num w:numId="9" w16cid:durableId="2008054294">
    <w:abstractNumId w:val="4"/>
  </w:num>
  <w:num w:numId="10" w16cid:durableId="415057775">
    <w:abstractNumId w:val="4"/>
  </w:num>
  <w:num w:numId="11" w16cid:durableId="1706055574">
    <w:abstractNumId w:val="8"/>
  </w:num>
  <w:num w:numId="12" w16cid:durableId="1385956280">
    <w:abstractNumId w:val="8"/>
  </w:num>
  <w:num w:numId="13" w16cid:durableId="1369259334">
    <w:abstractNumId w:val="3"/>
  </w:num>
  <w:num w:numId="14" w16cid:durableId="1293366799">
    <w:abstractNumId w:val="3"/>
  </w:num>
  <w:num w:numId="15" w16cid:durableId="389109381">
    <w:abstractNumId w:val="2"/>
  </w:num>
  <w:num w:numId="16" w16cid:durableId="2092575832">
    <w:abstractNumId w:val="2"/>
  </w:num>
  <w:num w:numId="17" w16cid:durableId="991756406">
    <w:abstractNumId w:val="1"/>
  </w:num>
  <w:num w:numId="18" w16cid:durableId="1355153858">
    <w:abstractNumId w:val="1"/>
  </w:num>
  <w:num w:numId="19" w16cid:durableId="1614053058">
    <w:abstractNumId w:val="0"/>
  </w:num>
  <w:num w:numId="20" w16cid:durableId="1109200300">
    <w:abstractNumId w:val="0"/>
  </w:num>
  <w:num w:numId="21" w16cid:durableId="335815422">
    <w:abstractNumId w:val="9"/>
  </w:num>
  <w:num w:numId="22" w16cid:durableId="672416943">
    <w:abstractNumId w:val="7"/>
  </w:num>
  <w:num w:numId="23" w16cid:durableId="1329481655">
    <w:abstractNumId w:val="6"/>
  </w:num>
  <w:num w:numId="24" w16cid:durableId="456341912">
    <w:abstractNumId w:val="5"/>
  </w:num>
  <w:num w:numId="25" w16cid:durableId="1409497684">
    <w:abstractNumId w:val="4"/>
  </w:num>
  <w:num w:numId="26" w16cid:durableId="2066174088">
    <w:abstractNumId w:val="8"/>
  </w:num>
  <w:num w:numId="27" w16cid:durableId="1603806836">
    <w:abstractNumId w:val="3"/>
  </w:num>
  <w:num w:numId="28" w16cid:durableId="138036525">
    <w:abstractNumId w:val="2"/>
  </w:num>
  <w:num w:numId="29" w16cid:durableId="1181627593">
    <w:abstractNumId w:val="1"/>
  </w:num>
  <w:num w:numId="30" w16cid:durableId="678626937">
    <w:abstractNumId w:val="0"/>
  </w:num>
  <w:num w:numId="31" w16cid:durableId="940600559">
    <w:abstractNumId w:val="9"/>
  </w:num>
  <w:num w:numId="32" w16cid:durableId="2024890060">
    <w:abstractNumId w:val="7"/>
  </w:num>
  <w:num w:numId="33" w16cid:durableId="1699886986">
    <w:abstractNumId w:val="6"/>
  </w:num>
  <w:num w:numId="34" w16cid:durableId="540751826">
    <w:abstractNumId w:val="5"/>
  </w:num>
  <w:num w:numId="35" w16cid:durableId="330377690">
    <w:abstractNumId w:val="4"/>
  </w:num>
  <w:num w:numId="36" w16cid:durableId="1875147489">
    <w:abstractNumId w:val="8"/>
  </w:num>
  <w:num w:numId="37" w16cid:durableId="270550689">
    <w:abstractNumId w:val="3"/>
  </w:num>
  <w:num w:numId="38" w16cid:durableId="30804709">
    <w:abstractNumId w:val="2"/>
  </w:num>
  <w:num w:numId="39" w16cid:durableId="284503449">
    <w:abstractNumId w:val="1"/>
  </w:num>
  <w:num w:numId="40" w16cid:durableId="1685862280">
    <w:abstractNumId w:val="0"/>
  </w:num>
  <w:num w:numId="41" w16cid:durableId="1454784463">
    <w:abstractNumId w:val="10"/>
  </w:num>
  <w:num w:numId="42" w16cid:durableId="2072994786">
    <w:abstractNumId w:val="10"/>
  </w:num>
  <w:num w:numId="43" w16cid:durableId="1227299672">
    <w:abstractNumId w:val="10"/>
  </w:num>
  <w:num w:numId="44" w16cid:durableId="6074658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8/2026"/>
    <w:docVar w:name="dvlangue" w:val="FR"/>
    <w:docVar w:name="dvnumam" w:val="0"/>
    <w:docVar w:name="dvpe" w:val="782.289"/>
    <w:docVar w:name="dvrapporteur" w:val="Rapporteure: "/>
    <w:docVar w:name="dvtitre" w:val="Décision du Parlement européen du ... 2026 sur la proposition de la Banque centrale européenne concernant la nomination du vice-président de son conseil de surveillance(N10-0080/2025 – C10-0366/2025 – 2025/0906(NLE))"/>
  </w:docVars>
  <w:rsids>
    <w:rsidRoot w:val="006C2F3B"/>
    <w:rsid w:val="00002272"/>
    <w:rsid w:val="00064002"/>
    <w:rsid w:val="000677B9"/>
    <w:rsid w:val="000831BA"/>
    <w:rsid w:val="000A42CC"/>
    <w:rsid w:val="000E7DD9"/>
    <w:rsid w:val="0010095E"/>
    <w:rsid w:val="00125B37"/>
    <w:rsid w:val="00172F08"/>
    <w:rsid w:val="00187494"/>
    <w:rsid w:val="001F32AE"/>
    <w:rsid w:val="002767FF"/>
    <w:rsid w:val="00281ADE"/>
    <w:rsid w:val="002B18FE"/>
    <w:rsid w:val="002B5493"/>
    <w:rsid w:val="002E5AD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405"/>
    <w:rsid w:val="005F1B17"/>
    <w:rsid w:val="006037C0"/>
    <w:rsid w:val="006631B6"/>
    <w:rsid w:val="00680577"/>
    <w:rsid w:val="006C2F3B"/>
    <w:rsid w:val="006C5CA0"/>
    <w:rsid w:val="006F74FA"/>
    <w:rsid w:val="00731ADD"/>
    <w:rsid w:val="00734777"/>
    <w:rsid w:val="00747932"/>
    <w:rsid w:val="00751A4A"/>
    <w:rsid w:val="00756632"/>
    <w:rsid w:val="00762C74"/>
    <w:rsid w:val="00786EC0"/>
    <w:rsid w:val="007D1690"/>
    <w:rsid w:val="007E22AD"/>
    <w:rsid w:val="007E4260"/>
    <w:rsid w:val="00817416"/>
    <w:rsid w:val="00842779"/>
    <w:rsid w:val="0085612B"/>
    <w:rsid w:val="00865F67"/>
    <w:rsid w:val="00881A7B"/>
    <w:rsid w:val="008840E5"/>
    <w:rsid w:val="00887B3E"/>
    <w:rsid w:val="008C2AC6"/>
    <w:rsid w:val="008F5A9B"/>
    <w:rsid w:val="008F7EC3"/>
    <w:rsid w:val="00930C23"/>
    <w:rsid w:val="0093193B"/>
    <w:rsid w:val="009509D8"/>
    <w:rsid w:val="00950B64"/>
    <w:rsid w:val="00981893"/>
    <w:rsid w:val="009F6FE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9C6"/>
    <w:rsid w:val="00E365E1"/>
    <w:rsid w:val="00E820A4"/>
    <w:rsid w:val="00EB006A"/>
    <w:rsid w:val="00EB4772"/>
    <w:rsid w:val="00ED169E"/>
    <w:rsid w:val="00ED4235"/>
    <w:rsid w:val="00ED551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61DA7"/>
  <w15:chartTrackingRefBased/>
  <w15:docId w15:val="{803DE4E9-E04A-4C33-A589-DC062F3BB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612B"/>
    <w:pPr>
      <w:spacing w:before="480" w:after="240"/>
    </w:pPr>
  </w:style>
  <w:style w:type="paragraph" w:customStyle="1" w:styleId="NormalBold">
    <w:name w:val="NormalBold"/>
    <w:basedOn w:val="Normal"/>
    <w:rsid w:val="0085612B"/>
    <w:rPr>
      <w:b/>
    </w:rPr>
  </w:style>
  <w:style w:type="paragraph" w:customStyle="1" w:styleId="NormalHanging12a">
    <w:name w:val="NormalHanging12a"/>
    <w:basedOn w:val="Normal"/>
    <w:rsid w:val="0085612B"/>
    <w:pPr>
      <w:spacing w:after="240"/>
      <w:ind w:left="567" w:hanging="567"/>
    </w:pPr>
  </w:style>
  <w:style w:type="character" w:styleId="Hyperlink">
    <w:name w:val="Hyperlink"/>
    <w:rsid w:val="0085612B"/>
    <w:rPr>
      <w:color w:val="0000FF"/>
      <w:u w:val="single"/>
    </w:rPr>
  </w:style>
  <w:style w:type="paragraph" w:customStyle="1" w:styleId="Normal12Hanging">
    <w:name w:val="Normal12Hanging"/>
    <w:basedOn w:val="Normal"/>
    <w:rsid w:val="0085612B"/>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2049/oj" TargetMode="External"/><Relationship Id="rId2" Type="http://schemas.openxmlformats.org/officeDocument/2006/relationships/hyperlink" Target="http://data.europa.eu/eli/agree_interinstit/2013/1130/oj" TargetMode="External"/><Relationship Id="rId1" Type="http://schemas.openxmlformats.org/officeDocument/2006/relationships/hyperlink" Target="http://data.europa.eu/eli/reg/2013/1024/oj" TargetMode="External"/><Relationship Id="rId4" Type="http://schemas.openxmlformats.org/officeDocument/2006/relationships/hyperlink" Target="http://data.europa.eu/eli/dec_impl/2021/3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Marianne Salou DLA</cp:lastModifiedBy>
  <cp:revision>2</cp:revision>
  <cp:lastPrinted>2004-11-19T15:42:00Z</cp:lastPrinted>
  <dcterms:created xsi:type="dcterms:W3CDTF">2026-02-10T13:35:00Z</dcterms:created>
  <dcterms:modified xsi:type="dcterms:W3CDTF">2026-02-10T13:35:00Z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A10-0008/2026</vt:lpwstr>
  </property>
  <property fmtid="{D5CDD505-2E9C-101B-9397-08002B2CF9AE}" pid="4" name="&lt;Type&gt;">
    <vt:lpwstr>RR</vt:lpwstr>
  </property>
</Properties>
</file>