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5F96" w14:paraId="3A9A6D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3A8D39" w14:textId="77777777" w:rsidR="00751A4A" w:rsidRPr="00E35F96" w:rsidRDefault="00296DC9" w:rsidP="0010095E">
            <w:pPr>
              <w:pStyle w:val="EPName"/>
            </w:pPr>
            <w:r w:rsidRPr="00E35F96">
              <w:t>Parlamento europeo</w:t>
            </w:r>
          </w:p>
          <w:p w14:paraId="1448918F" w14:textId="77777777" w:rsidR="00751A4A" w:rsidRPr="00E35F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5F96">
              <w:t>2024</w:t>
            </w:r>
            <w:r w:rsidR="00817416" w:rsidRPr="00E35F96">
              <w:t>-202</w:t>
            </w:r>
            <w:r w:rsidRPr="00E35F96">
              <w:t>9</w:t>
            </w:r>
          </w:p>
        </w:tc>
        <w:tc>
          <w:tcPr>
            <w:tcW w:w="2268" w:type="dxa"/>
            <w:shd w:val="clear" w:color="auto" w:fill="auto"/>
          </w:tcPr>
          <w:p w14:paraId="3F04EA39" w14:textId="77777777" w:rsidR="00751A4A" w:rsidRPr="00E35F96" w:rsidRDefault="00187494" w:rsidP="0010095E">
            <w:pPr>
              <w:pStyle w:val="EPLogo"/>
            </w:pPr>
            <w:r w:rsidRPr="00E35F96">
              <w:rPr>
                <w:noProof/>
                <w:lang w:eastAsia="ja-JP"/>
              </w:rPr>
              <w:drawing>
                <wp:inline distT="0" distB="0" distL="0" distR="0" wp14:anchorId="7EFDC754" wp14:editId="68D4EF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5F8EE4" w14:textId="77777777" w:rsidR="00D058B8" w:rsidRPr="00E35F96" w:rsidRDefault="00D058B8" w:rsidP="004C5D52">
      <w:pPr>
        <w:pStyle w:val="LineTop"/>
      </w:pPr>
    </w:p>
    <w:p w14:paraId="59F9A6F4" w14:textId="77777777" w:rsidR="00680577" w:rsidRPr="00E35F96" w:rsidRDefault="00296DC9" w:rsidP="00680577">
      <w:pPr>
        <w:pStyle w:val="EPBodyTA1"/>
      </w:pPr>
      <w:r w:rsidRPr="00E35F96">
        <w:t>TESTI APPROVATI</w:t>
      </w:r>
    </w:p>
    <w:p w14:paraId="5986CE95" w14:textId="77777777" w:rsidR="00D058B8" w:rsidRPr="00E35F96" w:rsidRDefault="00D058B8" w:rsidP="00D058B8">
      <w:pPr>
        <w:pStyle w:val="LineBottom"/>
      </w:pPr>
    </w:p>
    <w:p w14:paraId="23B01235" w14:textId="050E4CDA" w:rsidR="00296DC9" w:rsidRPr="00E35F96" w:rsidRDefault="00296DC9" w:rsidP="00296DC9">
      <w:pPr>
        <w:pStyle w:val="ATHeading1"/>
      </w:pPr>
      <w:bookmarkStart w:id="0" w:name="TANumber"/>
      <w:r w:rsidRPr="00E35F96">
        <w:t>P10_TA(2026)00</w:t>
      </w:r>
      <w:bookmarkEnd w:id="0"/>
      <w:r w:rsidR="00E35F96" w:rsidRPr="00E35F96">
        <w:t>33</w:t>
      </w:r>
    </w:p>
    <w:p w14:paraId="34B73A32" w14:textId="4D05EF42" w:rsidR="00296DC9" w:rsidRPr="00E35F96" w:rsidRDefault="00296DC9" w:rsidP="00296DC9">
      <w:pPr>
        <w:pStyle w:val="ATHeading2"/>
      </w:pPr>
      <w:bookmarkStart w:id="1" w:name="title"/>
      <w:r w:rsidRPr="00E35F96">
        <w:t xml:space="preserve">Nomina del </w:t>
      </w:r>
      <w:r w:rsidR="00532126" w:rsidRPr="00E35F96">
        <w:t>v</w:t>
      </w:r>
      <w:r w:rsidRPr="00E35F96">
        <w:t xml:space="preserve">icepresidente del </w:t>
      </w:r>
      <w:r w:rsidR="00532126" w:rsidRPr="00E35F96">
        <w:t>c</w:t>
      </w:r>
      <w:r w:rsidRPr="00E35F96">
        <w:t>onsiglio di vigilanza della Banca centrale europea</w:t>
      </w:r>
      <w:bookmarkEnd w:id="1"/>
    </w:p>
    <w:p w14:paraId="744059D1" w14:textId="77777777" w:rsidR="00296DC9" w:rsidRPr="00E35F96" w:rsidRDefault="00296DC9" w:rsidP="00296DC9">
      <w:pPr>
        <w:rPr>
          <w:i/>
          <w:vanish/>
        </w:rPr>
      </w:pPr>
      <w:r w:rsidRPr="00E35F96">
        <w:rPr>
          <w:i/>
        </w:rPr>
        <w:fldChar w:fldCharType="begin"/>
      </w:r>
      <w:r w:rsidRPr="00E35F96">
        <w:rPr>
          <w:i/>
        </w:rPr>
        <w:instrText xml:space="preserve"> TC"(</w:instrText>
      </w:r>
      <w:bookmarkStart w:id="2" w:name="DocNumber"/>
      <w:r w:rsidRPr="00E35F96">
        <w:rPr>
          <w:i/>
        </w:rPr>
        <w:instrText>A10-0008/2026</w:instrText>
      </w:r>
      <w:bookmarkEnd w:id="2"/>
      <w:r w:rsidRPr="00E35F96">
        <w:rPr>
          <w:i/>
        </w:rPr>
        <w:instrText xml:space="preserve"> - Relatrice: Aurore Lalucq)"\l3 \n&gt; \* MERGEFORMAT </w:instrText>
      </w:r>
      <w:r w:rsidRPr="00E35F96">
        <w:rPr>
          <w:i/>
        </w:rPr>
        <w:fldChar w:fldCharType="end"/>
      </w:r>
    </w:p>
    <w:p w14:paraId="63C295F8" w14:textId="77777777" w:rsidR="00296DC9" w:rsidRPr="00E35F96" w:rsidRDefault="00296DC9" w:rsidP="00296DC9">
      <w:pPr>
        <w:rPr>
          <w:vanish/>
        </w:rPr>
      </w:pPr>
      <w:bookmarkStart w:id="3" w:name="Commission"/>
      <w:r w:rsidRPr="00E35F96">
        <w:rPr>
          <w:vanish/>
        </w:rPr>
        <w:t>Commissione per i problemi economici e monetari</w:t>
      </w:r>
      <w:bookmarkEnd w:id="3"/>
    </w:p>
    <w:p w14:paraId="3B002C6D" w14:textId="77777777" w:rsidR="00296DC9" w:rsidRPr="00E35F96" w:rsidRDefault="00296DC9" w:rsidP="00296DC9">
      <w:pPr>
        <w:rPr>
          <w:vanish/>
        </w:rPr>
      </w:pPr>
      <w:bookmarkStart w:id="4" w:name="PE"/>
      <w:r w:rsidRPr="00E35F96">
        <w:rPr>
          <w:vanish/>
        </w:rPr>
        <w:t>PE782.289</w:t>
      </w:r>
      <w:bookmarkEnd w:id="4"/>
    </w:p>
    <w:p w14:paraId="10B52991" w14:textId="77777777" w:rsidR="00296DC9" w:rsidRPr="00E35F96" w:rsidRDefault="00296DC9" w:rsidP="00296DC9">
      <w:pPr>
        <w:pStyle w:val="ATHeading3"/>
      </w:pPr>
      <w:bookmarkStart w:id="5" w:name="Sujet"/>
      <w:r w:rsidRPr="00E35F96">
        <w:t>Decisione del Parlamento europeo del 10 febbraio 2026 sulla proposta della Banca centrale europea relativa alla nomina del vicepresidente del consiglio di vigilanza della Banca centrale europea</w:t>
      </w:r>
      <w:bookmarkEnd w:id="5"/>
      <w:r w:rsidRPr="00E35F96">
        <w:t xml:space="preserve"> </w:t>
      </w:r>
      <w:bookmarkStart w:id="6" w:name="References"/>
      <w:r w:rsidRPr="00E35F96">
        <w:t>(N10-0080/2025 – C10-0366/2025 – 2025/0906(NLE))</w:t>
      </w:r>
      <w:bookmarkEnd w:id="6"/>
    </w:p>
    <w:p w14:paraId="3F7A8A30" w14:textId="77777777" w:rsidR="001E4C5F" w:rsidRPr="00E35F96" w:rsidRDefault="001E4C5F" w:rsidP="001E4C5F">
      <w:pPr>
        <w:pStyle w:val="NormalBold"/>
      </w:pPr>
      <w:r w:rsidRPr="00E35F96">
        <w:t>(Approvazione)</w:t>
      </w:r>
    </w:p>
    <w:p w14:paraId="5B141BF7" w14:textId="77777777" w:rsidR="001E4C5F" w:rsidRPr="00E35F96" w:rsidRDefault="001E4C5F" w:rsidP="001E4C5F">
      <w:pPr>
        <w:pStyle w:val="EPComma"/>
      </w:pPr>
      <w:r w:rsidRPr="00E35F96">
        <w:rPr>
          <w:i/>
        </w:rPr>
        <w:t>Il Parlamento europeo</w:t>
      </w:r>
      <w:r w:rsidRPr="00E35F96">
        <w:t>,</w:t>
      </w:r>
    </w:p>
    <w:p w14:paraId="2D81CC57" w14:textId="77777777" w:rsidR="001E4C5F" w:rsidRPr="00E35F96" w:rsidRDefault="001E4C5F" w:rsidP="001E4C5F">
      <w:pPr>
        <w:spacing w:after="240"/>
        <w:ind w:left="567" w:hanging="567"/>
      </w:pPr>
      <w:bookmarkStart w:id="7" w:name="_Hlk219982823"/>
      <w:r w:rsidRPr="00E35F96">
        <w:t>–</w:t>
      </w:r>
      <w:r w:rsidRPr="00E35F96">
        <w:tab/>
        <w:t>vista la proposta della Banca centrale europea del 17 dicembre 2025 relativa alla nomina del vicepresidente del consiglio di vigilanza della Banca centrale europea (C10-0366/2025),</w:t>
      </w:r>
    </w:p>
    <w:p w14:paraId="6788F7E0" w14:textId="77777777" w:rsidR="001E4C5F" w:rsidRPr="00E35F96" w:rsidRDefault="001E4C5F" w:rsidP="001E4C5F">
      <w:pPr>
        <w:spacing w:after="240"/>
        <w:ind w:left="567" w:hanging="567"/>
      </w:pPr>
      <w:r w:rsidRPr="00E35F96">
        <w:t>–</w:t>
      </w:r>
      <w:r w:rsidRPr="00E35F96">
        <w:tab/>
        <w:t>visto l'articolo 26, paragrafo 3, del regolamento (UE) n. 1024/2013 del Consiglio, del 15 ottobre 2013, che attribuisce alla Banca centrale europea compiti specifici in merito alle politiche in materia di vigilanza prudenziale degli enti creditizi</w:t>
      </w:r>
      <w:r w:rsidRPr="00E35F96">
        <w:rPr>
          <w:rStyle w:val="FootnoteReference"/>
        </w:rPr>
        <w:footnoteReference w:id="1"/>
      </w:r>
      <w:r w:rsidRPr="00E35F96">
        <w:t>,</w:t>
      </w:r>
    </w:p>
    <w:p w14:paraId="0C9A3727" w14:textId="77777777" w:rsidR="001E4C5F" w:rsidRPr="00E35F96" w:rsidRDefault="001E4C5F" w:rsidP="001E4C5F">
      <w:pPr>
        <w:spacing w:after="240"/>
        <w:ind w:left="567" w:hanging="709"/>
      </w:pPr>
      <w:r w:rsidRPr="00E35F96">
        <w:t>–</w:t>
      </w:r>
      <w:r w:rsidRPr="00E35F96">
        <w:tab/>
        <w:t>visto l'accordo interistituzionale tra il Parlamento europeo e la Banca centrale europea sulle modalità pratiche dell'esercizio della responsabilità democratica e della supervisione sull'esecuzione dei compiti attribuiti alla Banca centrale europea nel quadro del meccanismo di vigilanza unico</w:t>
      </w:r>
      <w:r w:rsidRPr="00E35F96">
        <w:rPr>
          <w:rStyle w:val="FootnoteReference"/>
        </w:rPr>
        <w:footnoteReference w:id="2"/>
      </w:r>
      <w:r w:rsidRPr="00E35F96">
        <w:t>,</w:t>
      </w:r>
    </w:p>
    <w:p w14:paraId="1342806D" w14:textId="77777777" w:rsidR="001E4C5F" w:rsidRPr="00E35F96" w:rsidRDefault="001E4C5F" w:rsidP="001E4C5F">
      <w:pPr>
        <w:spacing w:after="240"/>
        <w:ind w:left="567" w:hanging="709"/>
      </w:pPr>
      <w:r w:rsidRPr="00E35F96">
        <w:t>–</w:t>
      </w:r>
      <w:r w:rsidRPr="00E35F96">
        <w:tab/>
        <w:t>vista la sua risoluzione del 14 marzo 2019 sull'equilibrio di genere nelle nomine di candidati a incarichi nel settore degli affari economici e monetari a livello dell'Unione europea</w:t>
      </w:r>
      <w:r w:rsidRPr="00E35F96">
        <w:rPr>
          <w:rStyle w:val="FootnoteReference"/>
        </w:rPr>
        <w:footnoteReference w:id="3"/>
      </w:r>
      <w:r w:rsidRPr="00E35F96">
        <w:t>,</w:t>
      </w:r>
    </w:p>
    <w:p w14:paraId="7945A458" w14:textId="77777777" w:rsidR="001E4C5F" w:rsidRPr="00E35F96" w:rsidRDefault="001E4C5F" w:rsidP="001E4C5F">
      <w:pPr>
        <w:spacing w:after="240"/>
        <w:ind w:left="567" w:hanging="709"/>
        <w:rPr>
          <w:b/>
        </w:rPr>
      </w:pPr>
      <w:r w:rsidRPr="00E35F96">
        <w:t>–</w:t>
      </w:r>
      <w:r w:rsidRPr="00E35F96">
        <w:tab/>
        <w:t>vista la sua risoluzione del 16 gennaio 2020 sulle istituzioni e gli organi dell'Unione economica e monetaria: prevenire i conflitti di interesse dopo una carica pubblica</w:t>
      </w:r>
      <w:r w:rsidRPr="00E35F96">
        <w:rPr>
          <w:rStyle w:val="FootnoteReference"/>
        </w:rPr>
        <w:footnoteReference w:id="4"/>
      </w:r>
      <w:r w:rsidRPr="00E35F96">
        <w:t>,</w:t>
      </w:r>
      <w:bookmarkEnd w:id="7"/>
    </w:p>
    <w:p w14:paraId="7FBEC07F" w14:textId="77777777" w:rsidR="001E4C5F" w:rsidRPr="00E35F96" w:rsidRDefault="001E4C5F" w:rsidP="001E4C5F">
      <w:pPr>
        <w:spacing w:after="240"/>
        <w:ind w:left="567" w:hanging="567"/>
      </w:pPr>
      <w:r w:rsidRPr="00E35F96">
        <w:lastRenderedPageBreak/>
        <w:t>–</w:t>
      </w:r>
      <w:r w:rsidRPr="00E35F96">
        <w:tab/>
        <w:t>visto l'articolo 135 del suo regolamento,</w:t>
      </w:r>
    </w:p>
    <w:p w14:paraId="53EBC424" w14:textId="77777777" w:rsidR="001E4C5F" w:rsidRPr="00E35F96" w:rsidRDefault="001E4C5F" w:rsidP="001E4C5F">
      <w:pPr>
        <w:pStyle w:val="NormalHanging12a"/>
      </w:pPr>
      <w:r w:rsidRPr="00E35F96">
        <w:t>–</w:t>
      </w:r>
      <w:r w:rsidRPr="00E35F96">
        <w:tab/>
        <w:t>vista la relazione della commissione per i problemi economici e monetari (A10</w:t>
      </w:r>
      <w:r w:rsidRPr="00E35F96">
        <w:noBreakHyphen/>
        <w:t>0008/2026),</w:t>
      </w:r>
    </w:p>
    <w:p w14:paraId="16D08A99" w14:textId="77777777" w:rsidR="001E4C5F" w:rsidRPr="00E35F96" w:rsidRDefault="001E4C5F" w:rsidP="001E4C5F">
      <w:pPr>
        <w:pStyle w:val="NormalHanging12a"/>
      </w:pPr>
      <w:bookmarkStart w:id="8" w:name="_Hlk219982847"/>
      <w:r w:rsidRPr="00E35F96">
        <w:t>A.</w:t>
      </w:r>
      <w:r w:rsidRPr="00E35F96">
        <w:tab/>
        <w:t>considerando che l'articolo 26, paragrafo 3, del regolamento (UE) n. 1024/2013 del Consiglio prevede che la Banca centrale europea (BCE) presenti al Parlamento europeo, per approvazione, una proposta di nomina del vicepresidente del proprio consiglio di vigilanza;</w:t>
      </w:r>
    </w:p>
    <w:p w14:paraId="5961CA2D" w14:textId="77777777" w:rsidR="001E4C5F" w:rsidRPr="00E35F96" w:rsidRDefault="001E4C5F" w:rsidP="001E4C5F">
      <w:pPr>
        <w:pStyle w:val="NormalHanging12a"/>
      </w:pPr>
      <w:r w:rsidRPr="00E35F96">
        <w:t>B.</w:t>
      </w:r>
      <w:r w:rsidRPr="00E35F96">
        <w:tab/>
        <w:t>considerando che il vicepresidente del consiglio di vigilanza è scelto tra i membri del comitato esecutivo della BCE;</w:t>
      </w:r>
    </w:p>
    <w:p w14:paraId="1795FBD7" w14:textId="66606886" w:rsidR="001E4C5F" w:rsidRPr="00E35F96" w:rsidRDefault="001E4C5F" w:rsidP="001E4C5F">
      <w:pPr>
        <w:pStyle w:val="NormalHanging12a"/>
      </w:pPr>
      <w:r w:rsidRPr="00E35F96">
        <w:t>C.</w:t>
      </w:r>
      <w:r w:rsidRPr="00E35F96">
        <w:tab/>
        <w:t xml:space="preserve">considerando che l'articolo 26, paragrafo 2, del regolamento (UE) n. 1024/2013 del Consiglio prevede che le nomine del consiglio di vigilanza </w:t>
      </w:r>
      <w:r w:rsidR="00532126" w:rsidRPr="00E35F96">
        <w:t>in conformità di tale</w:t>
      </w:r>
      <w:r w:rsidRPr="00E35F96">
        <w:t xml:space="preserve"> regolamento rispettino i principi di equilibrio di genere, esperienza e qualifica;</w:t>
      </w:r>
    </w:p>
    <w:p w14:paraId="6FEB1243" w14:textId="77777777" w:rsidR="001E4C5F" w:rsidRPr="00E35F96" w:rsidRDefault="001E4C5F" w:rsidP="001E4C5F">
      <w:pPr>
        <w:pStyle w:val="NormalHanging12a"/>
      </w:pPr>
      <w:r w:rsidRPr="00E35F96">
        <w:t>D.</w:t>
      </w:r>
      <w:r w:rsidRPr="00E35F96">
        <w:tab/>
        <w:t>considerando che il Parlamento è impegnato a garantire l'equilibrio di genere nelle posizioni di alto livello nel settore dei servizi bancari e finanziari; che tutte le istituzioni e gli organi dell'Unione e nazionali dovrebbero attuare misure concrete per garantire l'equilibrio di genere;</w:t>
      </w:r>
    </w:p>
    <w:p w14:paraId="28288628" w14:textId="00FE9152" w:rsidR="001E4C5F" w:rsidRPr="00E35F96" w:rsidRDefault="001E4C5F" w:rsidP="001E4C5F">
      <w:pPr>
        <w:pStyle w:val="NormalHanging12a"/>
      </w:pPr>
      <w:r w:rsidRPr="00E35F96">
        <w:t>E.</w:t>
      </w:r>
      <w:r w:rsidRPr="00E35F96">
        <w:tab/>
        <w:t>considerando che il 10 dicembre 2020</w:t>
      </w:r>
      <w:r w:rsidRPr="00E35F96">
        <w:rPr>
          <w:vertAlign w:val="superscript"/>
        </w:rPr>
        <w:footnoteReference w:id="5"/>
      </w:r>
      <w:r w:rsidRPr="00E35F96">
        <w:t xml:space="preserve"> il Consiglio</w:t>
      </w:r>
      <w:r w:rsidR="00532126" w:rsidRPr="00E35F96">
        <w:t xml:space="preserve"> europeo</w:t>
      </w:r>
      <w:r w:rsidRPr="00E35F96">
        <w:t xml:space="preserve"> ha nominato Frank </w:t>
      </w:r>
      <w:proofErr w:type="spellStart"/>
      <w:r w:rsidRPr="00E35F96">
        <w:t>Elderson</w:t>
      </w:r>
      <w:proofErr w:type="spellEnd"/>
      <w:r w:rsidRPr="00E35F96">
        <w:t xml:space="preserve"> membro del comitato esecutivo della BCE per un </w:t>
      </w:r>
      <w:r w:rsidR="00532126" w:rsidRPr="00E35F96">
        <w:t xml:space="preserve">periodo </w:t>
      </w:r>
      <w:r w:rsidRPr="00E35F96">
        <w:t xml:space="preserve">di otto anni a decorrere dal 15 dicembre 2020, </w:t>
      </w:r>
      <w:r w:rsidR="00532126" w:rsidRPr="00E35F96">
        <w:t>in conformità</w:t>
      </w:r>
      <w:r w:rsidRPr="00E35F96">
        <w:t xml:space="preserve"> dell'articolo 283, paragrafo 2, del trattato sul funzionamento dell'Unione europea;</w:t>
      </w:r>
    </w:p>
    <w:p w14:paraId="35AF8313" w14:textId="77777777" w:rsidR="001E4C5F" w:rsidRPr="00E35F96" w:rsidRDefault="001E4C5F" w:rsidP="001E4C5F">
      <w:pPr>
        <w:pStyle w:val="NormalHanging12a"/>
      </w:pPr>
      <w:r w:rsidRPr="00E35F96">
        <w:t>F.</w:t>
      </w:r>
      <w:r w:rsidRPr="00E35F96">
        <w:tab/>
        <w:t>considerando che il 22 febbraio 2021</w:t>
      </w:r>
      <w:r w:rsidRPr="00E35F96">
        <w:rPr>
          <w:vertAlign w:val="superscript"/>
        </w:rPr>
        <w:footnoteReference w:id="6"/>
      </w:r>
      <w:r w:rsidRPr="00E35F96">
        <w:t xml:space="preserve"> il Consiglio ha nominato Frank </w:t>
      </w:r>
      <w:proofErr w:type="spellStart"/>
      <w:r w:rsidRPr="00E35F96">
        <w:t>Elderson</w:t>
      </w:r>
      <w:proofErr w:type="spellEnd"/>
      <w:r w:rsidRPr="00E35F96">
        <w:t xml:space="preserve"> vicepresidente del consiglio di vigilanza della BCE per un periodo di cinque anni a decorrere dal 24 febbraio 2021;</w:t>
      </w:r>
    </w:p>
    <w:p w14:paraId="294441E0" w14:textId="77777777" w:rsidR="001E4C5F" w:rsidRPr="00E35F96" w:rsidRDefault="001E4C5F" w:rsidP="001E4C5F">
      <w:pPr>
        <w:pStyle w:val="NormalHanging12a"/>
      </w:pPr>
      <w:r w:rsidRPr="00E35F96">
        <w:t>G.</w:t>
      </w:r>
      <w:r w:rsidRPr="00E35F96">
        <w:tab/>
        <w:t xml:space="preserve">considerando che, con lettera del 17 dicembre 2025, la BCE ha presentato al Parlamento una proposta di proroga della carica di Frank </w:t>
      </w:r>
      <w:proofErr w:type="spellStart"/>
      <w:r w:rsidRPr="00E35F96">
        <w:t>Elderson</w:t>
      </w:r>
      <w:proofErr w:type="spellEnd"/>
      <w:r w:rsidRPr="00E35F96">
        <w:t xml:space="preserve"> come vicepresidente del consiglio di vigilanza della BCE per un secondo mandato la cui durata coincida con la fine del suo mandato di membro del comitato esecutivo della BCE;</w:t>
      </w:r>
    </w:p>
    <w:p w14:paraId="3A9FFD46" w14:textId="26F6C3A5" w:rsidR="001E4C5F" w:rsidRPr="00E35F96" w:rsidRDefault="001E4C5F" w:rsidP="001E4C5F">
      <w:pPr>
        <w:pStyle w:val="NormalHanging12a"/>
      </w:pPr>
      <w:r w:rsidRPr="00E35F96">
        <w:t>H.</w:t>
      </w:r>
      <w:r w:rsidRPr="00E35F96">
        <w:tab/>
        <w:t xml:space="preserve">considerando che la commissione per i problemi economici e monetari del Parlamento </w:t>
      </w:r>
      <w:r w:rsidR="0086378C" w:rsidRPr="00E35F96">
        <w:t>ha proceduto alla valutazione del</w:t>
      </w:r>
      <w:r w:rsidRPr="00E35F96">
        <w:t>le qualifiche del candidat</w:t>
      </w:r>
      <w:r w:rsidR="0086378C" w:rsidRPr="00E35F96">
        <w:t>o</w:t>
      </w:r>
      <w:r w:rsidRPr="00E35F96">
        <w:t xml:space="preserve"> propost</w:t>
      </w:r>
      <w:r w:rsidR="0086378C" w:rsidRPr="00E35F96">
        <w:t>o</w:t>
      </w:r>
      <w:r w:rsidRPr="00E35F96">
        <w:t xml:space="preserve">, in particolare in </w:t>
      </w:r>
      <w:r w:rsidR="0086378C" w:rsidRPr="00E35F96">
        <w:t xml:space="preserve">relazione </w:t>
      </w:r>
      <w:r w:rsidRPr="00E35F96">
        <w:t>alle condizioni di cui all'articolo 26, paragrafi 2 e 3, del regolamento (UE) n. 1024/2013 del Consiglio;</w:t>
      </w:r>
    </w:p>
    <w:p w14:paraId="26C44A89" w14:textId="1010BDE7" w:rsidR="001E4C5F" w:rsidRPr="00E35F96" w:rsidRDefault="001E4C5F" w:rsidP="001E4C5F">
      <w:pPr>
        <w:pStyle w:val="NormalHanging12a"/>
      </w:pPr>
      <w:r w:rsidRPr="00E35F96">
        <w:t>I.</w:t>
      </w:r>
      <w:r w:rsidRPr="00E35F96">
        <w:tab/>
        <w:t xml:space="preserve">considerando che il 28 gennaio 2026 la commissione per i problemi economici e monetari ha svolto un'audizione del candidato proposto, nel corso della quale </w:t>
      </w:r>
      <w:r w:rsidR="0086378C" w:rsidRPr="00E35F96">
        <w:t>quest’ultimo</w:t>
      </w:r>
      <w:r w:rsidRPr="00E35F96">
        <w:t xml:space="preserve"> ha </w:t>
      </w:r>
      <w:r w:rsidR="0086378C" w:rsidRPr="00E35F96">
        <w:t xml:space="preserve">rilasciato </w:t>
      </w:r>
      <w:r w:rsidRPr="00E35F96">
        <w:t xml:space="preserve">una dichiarazione </w:t>
      </w:r>
      <w:r w:rsidR="0086378C" w:rsidRPr="00E35F96">
        <w:t>preliminare </w:t>
      </w:r>
      <w:r w:rsidRPr="00E35F96">
        <w:t xml:space="preserve">e ha risposto alle domande </w:t>
      </w:r>
      <w:r w:rsidR="0086378C" w:rsidRPr="00E35F96">
        <w:lastRenderedPageBreak/>
        <w:t xml:space="preserve">rivoltegli dai </w:t>
      </w:r>
      <w:r w:rsidRPr="00E35F96">
        <w:t>membri della commissione;</w:t>
      </w:r>
      <w:bookmarkEnd w:id="8"/>
    </w:p>
    <w:p w14:paraId="2906397E" w14:textId="77777777" w:rsidR="001E4C5F" w:rsidRPr="00E35F96" w:rsidRDefault="001E4C5F" w:rsidP="001E4C5F">
      <w:pPr>
        <w:spacing w:after="240"/>
        <w:ind w:left="567" w:hanging="567"/>
      </w:pPr>
      <w:bookmarkStart w:id="9" w:name="_Hlk219982872"/>
      <w:r w:rsidRPr="00E35F96">
        <w:t>1.</w:t>
      </w:r>
      <w:r w:rsidRPr="00E35F96">
        <w:tab/>
        <w:t xml:space="preserve">approva la nomina di Frank </w:t>
      </w:r>
      <w:proofErr w:type="spellStart"/>
      <w:r w:rsidRPr="00E35F96">
        <w:t>Elderson</w:t>
      </w:r>
      <w:proofErr w:type="spellEnd"/>
      <w:r w:rsidRPr="00E35F96">
        <w:t xml:space="preserve"> a vicepresidente del consiglio di vigilanza della Banca centrale europea</w:t>
      </w:r>
      <w:bookmarkEnd w:id="9"/>
      <w:r w:rsidRPr="00E35F96">
        <w:t>;</w:t>
      </w:r>
    </w:p>
    <w:p w14:paraId="6ED85E7A" w14:textId="2B90CE78" w:rsidR="00304F84" w:rsidRPr="00E35F96" w:rsidRDefault="001E4C5F" w:rsidP="00304F84">
      <w:pPr>
        <w:spacing w:after="240"/>
        <w:ind w:left="567" w:hanging="567"/>
      </w:pPr>
      <w:bookmarkStart w:id="10" w:name="_Hlk219982893"/>
      <w:r w:rsidRPr="00E35F96">
        <w:t>2.</w:t>
      </w:r>
      <w:r w:rsidRPr="00E35F96">
        <w:tab/>
        <w:t>incarica la sua Presidente di trasmettere la presente decisione al Consiglio e alla Commissione, nonché alla Banca centrale europea e ai governi degli Stati membri.</w:t>
      </w:r>
      <w:bookmarkEnd w:id="10"/>
    </w:p>
    <w:p w14:paraId="6E82BFB7" w14:textId="09B7FD48" w:rsidR="00E365E1" w:rsidRPr="00E35F96" w:rsidRDefault="00E365E1" w:rsidP="00296DC9"/>
    <w:sectPr w:rsidR="00E365E1" w:rsidRPr="00E35F96" w:rsidSect="00304F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13C01" w14:textId="77777777" w:rsidR="00296DC9" w:rsidRPr="00304F84" w:rsidRDefault="00296DC9">
      <w:r w:rsidRPr="00304F84">
        <w:separator/>
      </w:r>
    </w:p>
  </w:endnote>
  <w:endnote w:type="continuationSeparator" w:id="0">
    <w:p w14:paraId="4F15F8C4" w14:textId="77777777" w:rsidR="00296DC9" w:rsidRPr="00304F84" w:rsidRDefault="00296DC9">
      <w:r w:rsidRPr="00304F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8C7D1" w14:textId="77777777" w:rsidR="00064002" w:rsidRPr="00304F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07B0" w14:textId="77777777" w:rsidR="00064002" w:rsidRPr="00304F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1091C" w14:textId="77777777" w:rsidR="00064002" w:rsidRPr="00304F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9241F" w14:textId="77777777" w:rsidR="00296DC9" w:rsidRPr="00304F84" w:rsidRDefault="00296DC9">
      <w:r w:rsidRPr="00304F84">
        <w:separator/>
      </w:r>
    </w:p>
  </w:footnote>
  <w:footnote w:type="continuationSeparator" w:id="0">
    <w:p w14:paraId="7A2D412E" w14:textId="77777777" w:rsidR="00296DC9" w:rsidRPr="00304F84" w:rsidRDefault="00296DC9">
      <w:r w:rsidRPr="00304F84">
        <w:continuationSeparator/>
      </w:r>
    </w:p>
  </w:footnote>
  <w:footnote w:id="1">
    <w:p w14:paraId="007BC79B" w14:textId="31011928" w:rsidR="001E4C5F" w:rsidRPr="00304F84" w:rsidRDefault="001E4C5F" w:rsidP="00304F84">
      <w:pPr>
        <w:pStyle w:val="FootnoteText"/>
        <w:ind w:left="567" w:hanging="567"/>
        <w:rPr>
          <w:sz w:val="24"/>
          <w:lang w:val="it-IT"/>
        </w:rPr>
      </w:pPr>
      <w:r w:rsidRPr="00304F84">
        <w:rPr>
          <w:rStyle w:val="FootnoteReference"/>
          <w:sz w:val="24"/>
          <w:lang w:val="it-IT"/>
        </w:rPr>
        <w:footnoteRef/>
      </w:r>
      <w:r w:rsidR="00304F84" w:rsidRPr="00304F84">
        <w:rPr>
          <w:sz w:val="24"/>
          <w:lang w:val="it-IT"/>
        </w:rPr>
        <w:t xml:space="preserve"> </w:t>
      </w:r>
      <w:r w:rsidR="00304F84" w:rsidRPr="00304F84">
        <w:rPr>
          <w:sz w:val="24"/>
          <w:lang w:val="it-IT"/>
        </w:rPr>
        <w:tab/>
      </w:r>
      <w:r w:rsidRPr="00304F84">
        <w:rPr>
          <w:sz w:val="24"/>
          <w:lang w:val="it-IT"/>
        </w:rPr>
        <w:t>GU L 287 del 29.10.2013, pag. 63, ELI: </w:t>
      </w:r>
      <w:hyperlink r:id="rId1" w:tooltip="Gives access to this document through its ELI URI." w:history="1">
        <w:r w:rsidRPr="00304F84">
          <w:rPr>
            <w:rStyle w:val="Hyperlink"/>
            <w:sz w:val="24"/>
            <w:lang w:val="it-IT"/>
          </w:rPr>
          <w:t>http://data.europa.eu/eli/reg/2013/1024/</w:t>
        </w:r>
        <w:proofErr w:type="spellStart"/>
        <w:r w:rsidRPr="00304F84">
          <w:rPr>
            <w:rStyle w:val="Hyperlink"/>
            <w:sz w:val="24"/>
            <w:lang w:val="it-IT"/>
          </w:rPr>
          <w:t>oj</w:t>
        </w:r>
        <w:proofErr w:type="spellEnd"/>
      </w:hyperlink>
      <w:r w:rsidRPr="00304F84">
        <w:rPr>
          <w:sz w:val="24"/>
          <w:lang w:val="it-IT"/>
        </w:rPr>
        <w:t>.</w:t>
      </w:r>
    </w:p>
  </w:footnote>
  <w:footnote w:id="2">
    <w:p w14:paraId="27A545AC" w14:textId="2D2CE8FF" w:rsidR="001E4C5F" w:rsidRPr="00304F84" w:rsidRDefault="001E4C5F" w:rsidP="00304F84">
      <w:pPr>
        <w:pStyle w:val="FootnoteText"/>
        <w:ind w:left="567" w:hanging="567"/>
        <w:rPr>
          <w:sz w:val="24"/>
          <w:lang w:val="it-IT"/>
        </w:rPr>
      </w:pPr>
      <w:r w:rsidRPr="00304F84">
        <w:rPr>
          <w:rStyle w:val="FootnoteReference"/>
          <w:sz w:val="24"/>
          <w:lang w:val="it-IT"/>
        </w:rPr>
        <w:footnoteRef/>
      </w:r>
      <w:r w:rsidR="00304F84" w:rsidRPr="00304F84">
        <w:rPr>
          <w:sz w:val="24"/>
          <w:lang w:val="it-IT"/>
        </w:rPr>
        <w:t xml:space="preserve"> </w:t>
      </w:r>
      <w:r w:rsidR="00304F84" w:rsidRPr="00304F84">
        <w:rPr>
          <w:sz w:val="24"/>
          <w:lang w:val="it-IT"/>
        </w:rPr>
        <w:tab/>
      </w:r>
      <w:r w:rsidRPr="00304F84">
        <w:rPr>
          <w:sz w:val="24"/>
          <w:lang w:val="it-IT"/>
        </w:rPr>
        <w:t>GU L 320 del 30.11.2013, pag. 1, ELI: </w:t>
      </w:r>
      <w:hyperlink r:id="rId2" w:tooltip="Gives access to this document through its ELI URI." w:history="1">
        <w:r w:rsidRPr="00304F84">
          <w:rPr>
            <w:rStyle w:val="Hyperlink"/>
            <w:sz w:val="24"/>
            <w:lang w:val="it-IT"/>
          </w:rPr>
          <w:t>http://data.europa.eu/eli/agree_interinstit/2013/1130/oj</w:t>
        </w:r>
      </w:hyperlink>
      <w:r w:rsidRPr="00304F84">
        <w:rPr>
          <w:sz w:val="24"/>
          <w:lang w:val="it-IT"/>
        </w:rPr>
        <w:t>.</w:t>
      </w:r>
    </w:p>
  </w:footnote>
  <w:footnote w:id="3">
    <w:p w14:paraId="0A6EB274" w14:textId="45AAB39E" w:rsidR="001E4C5F" w:rsidRPr="00304F84" w:rsidRDefault="001E4C5F" w:rsidP="00304F84">
      <w:pPr>
        <w:pStyle w:val="FootnoteText"/>
        <w:ind w:left="567" w:hanging="567"/>
        <w:rPr>
          <w:sz w:val="24"/>
          <w:lang w:val="it-IT"/>
        </w:rPr>
      </w:pPr>
      <w:r w:rsidRPr="00304F84">
        <w:rPr>
          <w:rStyle w:val="FootnoteReference"/>
          <w:sz w:val="24"/>
          <w:lang w:val="it-IT"/>
        </w:rPr>
        <w:footnoteRef/>
      </w:r>
      <w:r w:rsidR="00304F84" w:rsidRPr="00304F84">
        <w:rPr>
          <w:sz w:val="24"/>
          <w:lang w:val="it-IT"/>
        </w:rPr>
        <w:t xml:space="preserve"> </w:t>
      </w:r>
      <w:r w:rsidR="00304F84" w:rsidRPr="00304F84">
        <w:rPr>
          <w:sz w:val="24"/>
          <w:lang w:val="it-IT"/>
        </w:rPr>
        <w:tab/>
      </w:r>
      <w:r w:rsidRPr="00304F84">
        <w:rPr>
          <w:sz w:val="24"/>
          <w:lang w:val="it-IT"/>
        </w:rPr>
        <w:t>GU C 23 del 21.1.2021, pag. 105.</w:t>
      </w:r>
    </w:p>
  </w:footnote>
  <w:footnote w:id="4">
    <w:p w14:paraId="53C0B863" w14:textId="2919D144" w:rsidR="001E4C5F" w:rsidRPr="00304F84" w:rsidRDefault="001E4C5F" w:rsidP="00304F84">
      <w:pPr>
        <w:pStyle w:val="FootnoteText"/>
        <w:ind w:left="567" w:hanging="567"/>
        <w:rPr>
          <w:sz w:val="24"/>
          <w:lang w:val="it-IT"/>
        </w:rPr>
      </w:pPr>
      <w:r w:rsidRPr="00304F84">
        <w:rPr>
          <w:rStyle w:val="FootnoteReference"/>
          <w:sz w:val="24"/>
          <w:lang w:val="it-IT"/>
        </w:rPr>
        <w:footnoteRef/>
      </w:r>
      <w:r w:rsidR="00304F84" w:rsidRPr="00304F84">
        <w:rPr>
          <w:sz w:val="24"/>
          <w:lang w:val="it-IT"/>
        </w:rPr>
        <w:t xml:space="preserve"> </w:t>
      </w:r>
      <w:r w:rsidR="00304F84" w:rsidRPr="00304F84">
        <w:rPr>
          <w:sz w:val="24"/>
          <w:lang w:val="it-IT"/>
        </w:rPr>
        <w:tab/>
      </w:r>
      <w:r w:rsidRPr="00304F84">
        <w:rPr>
          <w:sz w:val="24"/>
          <w:lang w:val="it-IT"/>
        </w:rPr>
        <w:t>GU C 270 del 7.7.2021, pag. 113.</w:t>
      </w:r>
    </w:p>
  </w:footnote>
  <w:footnote w:id="5">
    <w:p w14:paraId="236E7E8D" w14:textId="1EAE8247" w:rsidR="001E4C5F" w:rsidRPr="00304F84" w:rsidRDefault="001E4C5F" w:rsidP="00304F84">
      <w:pPr>
        <w:pStyle w:val="FootnoteText"/>
        <w:ind w:left="567" w:hanging="567"/>
        <w:rPr>
          <w:sz w:val="24"/>
          <w:lang w:val="it-IT"/>
        </w:rPr>
      </w:pPr>
      <w:r w:rsidRPr="00304F84">
        <w:rPr>
          <w:rStyle w:val="FootnoteReference"/>
          <w:sz w:val="24"/>
          <w:lang w:val="it-IT"/>
        </w:rPr>
        <w:footnoteRef/>
      </w:r>
      <w:r w:rsidR="00304F84" w:rsidRPr="00304F84">
        <w:rPr>
          <w:sz w:val="24"/>
          <w:lang w:val="it-IT"/>
        </w:rPr>
        <w:t xml:space="preserve"> </w:t>
      </w:r>
      <w:r w:rsidR="00304F84" w:rsidRPr="00304F84">
        <w:rPr>
          <w:sz w:val="24"/>
          <w:lang w:val="it-IT"/>
        </w:rPr>
        <w:tab/>
      </w:r>
      <w:r w:rsidRPr="00304F84">
        <w:rPr>
          <w:sz w:val="24"/>
          <w:lang w:val="it-IT"/>
        </w:rPr>
        <w:t>Decisione (UE) 2020/2049 del Consiglio europeo, del 10 dicembre 2020, relativa alla nomina di un membro del comitato esecutivo della Banca centrale europea (GU L 420 del 14.12.2020, pag. 22, ELI: </w:t>
      </w:r>
      <w:hyperlink r:id="rId3" w:tooltip="Gives access to this document through its ELI URI." w:history="1">
        <w:r w:rsidRPr="00304F84">
          <w:rPr>
            <w:rStyle w:val="Hyperlink"/>
            <w:sz w:val="24"/>
            <w:lang w:val="it-IT"/>
          </w:rPr>
          <w:t>http://data.europa.eu/eli/dec/2020/2049/oj</w:t>
        </w:r>
      </w:hyperlink>
      <w:r w:rsidRPr="00304F84">
        <w:rPr>
          <w:sz w:val="24"/>
          <w:lang w:val="it-IT"/>
        </w:rPr>
        <w:t>).</w:t>
      </w:r>
    </w:p>
  </w:footnote>
  <w:footnote w:id="6">
    <w:p w14:paraId="60F9BB71" w14:textId="57487568" w:rsidR="001E4C5F" w:rsidRPr="00304F84" w:rsidRDefault="001E4C5F" w:rsidP="00304F84">
      <w:pPr>
        <w:pStyle w:val="FootnoteText"/>
        <w:ind w:left="567" w:hanging="567"/>
        <w:rPr>
          <w:sz w:val="24"/>
          <w:lang w:val="it-IT"/>
        </w:rPr>
      </w:pPr>
      <w:r w:rsidRPr="00304F84">
        <w:rPr>
          <w:rStyle w:val="FootnoteReference"/>
          <w:sz w:val="24"/>
          <w:lang w:val="it-IT"/>
        </w:rPr>
        <w:footnoteRef/>
      </w:r>
      <w:r w:rsidR="00304F84" w:rsidRPr="00304F84">
        <w:rPr>
          <w:sz w:val="24"/>
          <w:lang w:val="it-IT"/>
        </w:rPr>
        <w:t xml:space="preserve"> </w:t>
      </w:r>
      <w:r w:rsidR="00304F84" w:rsidRPr="00304F84">
        <w:rPr>
          <w:sz w:val="24"/>
          <w:lang w:val="it-IT"/>
        </w:rPr>
        <w:tab/>
      </w:r>
      <w:r w:rsidRPr="00304F84">
        <w:rPr>
          <w:sz w:val="24"/>
          <w:lang w:val="it-IT"/>
        </w:rPr>
        <w:t>Decisione di esecuzione (UE) 2021/325 del Consiglio, del 22 febbraio 2021, relativa alla nomina del vicepresidente del consiglio di vigilanza della Banca centrale europea (GU L 64 del 24.2.2021, pag. 6, ELI: </w:t>
      </w:r>
      <w:hyperlink r:id="rId4" w:tooltip="Gives access to this document through its ELI URI." w:history="1">
        <w:r w:rsidRPr="00304F84">
          <w:rPr>
            <w:rStyle w:val="Hyperlink"/>
            <w:sz w:val="24"/>
            <w:lang w:val="it-IT"/>
          </w:rPr>
          <w:t>http://data.europa.eu/eli/</w:t>
        </w:r>
        <w:proofErr w:type="spellStart"/>
        <w:r w:rsidRPr="00304F84">
          <w:rPr>
            <w:rStyle w:val="Hyperlink"/>
            <w:sz w:val="24"/>
            <w:lang w:val="it-IT"/>
          </w:rPr>
          <w:t>dec_impl</w:t>
        </w:r>
        <w:proofErr w:type="spellEnd"/>
        <w:r w:rsidRPr="00304F84">
          <w:rPr>
            <w:rStyle w:val="Hyperlink"/>
            <w:sz w:val="24"/>
            <w:lang w:val="it-IT"/>
          </w:rPr>
          <w:t>/2021/325/</w:t>
        </w:r>
        <w:proofErr w:type="spellStart"/>
        <w:r w:rsidRPr="00304F84">
          <w:rPr>
            <w:rStyle w:val="Hyperlink"/>
            <w:sz w:val="24"/>
            <w:lang w:val="it-IT"/>
          </w:rPr>
          <w:t>oj</w:t>
        </w:r>
        <w:proofErr w:type="spellEnd"/>
      </w:hyperlink>
      <w:r w:rsidRPr="00304F84">
        <w:rPr>
          <w:sz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ED621" w14:textId="77777777" w:rsidR="00064002" w:rsidRPr="00304F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B1D72" w14:textId="77777777" w:rsidR="00064002" w:rsidRPr="00304F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59ADE" w14:textId="77777777" w:rsidR="00064002" w:rsidRPr="00304F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2527433">
    <w:abstractNumId w:val="9"/>
  </w:num>
  <w:num w:numId="2" w16cid:durableId="1973362423">
    <w:abstractNumId w:val="9"/>
  </w:num>
  <w:num w:numId="3" w16cid:durableId="1987082630">
    <w:abstractNumId w:val="7"/>
  </w:num>
  <w:num w:numId="4" w16cid:durableId="472721024">
    <w:abstractNumId w:val="7"/>
  </w:num>
  <w:num w:numId="5" w16cid:durableId="1903514725">
    <w:abstractNumId w:val="6"/>
  </w:num>
  <w:num w:numId="6" w16cid:durableId="804005159">
    <w:abstractNumId w:val="6"/>
  </w:num>
  <w:num w:numId="7" w16cid:durableId="354773873">
    <w:abstractNumId w:val="5"/>
  </w:num>
  <w:num w:numId="8" w16cid:durableId="405423259">
    <w:abstractNumId w:val="5"/>
  </w:num>
  <w:num w:numId="9" w16cid:durableId="211312351">
    <w:abstractNumId w:val="4"/>
  </w:num>
  <w:num w:numId="10" w16cid:durableId="552739468">
    <w:abstractNumId w:val="4"/>
  </w:num>
  <w:num w:numId="11" w16cid:durableId="880095079">
    <w:abstractNumId w:val="8"/>
  </w:num>
  <w:num w:numId="12" w16cid:durableId="1580140418">
    <w:abstractNumId w:val="8"/>
  </w:num>
  <w:num w:numId="13" w16cid:durableId="1000886125">
    <w:abstractNumId w:val="3"/>
  </w:num>
  <w:num w:numId="14" w16cid:durableId="1260720796">
    <w:abstractNumId w:val="3"/>
  </w:num>
  <w:num w:numId="15" w16cid:durableId="468858815">
    <w:abstractNumId w:val="2"/>
  </w:num>
  <w:num w:numId="16" w16cid:durableId="2138909453">
    <w:abstractNumId w:val="2"/>
  </w:num>
  <w:num w:numId="17" w16cid:durableId="390806461">
    <w:abstractNumId w:val="1"/>
  </w:num>
  <w:num w:numId="18" w16cid:durableId="1760102636">
    <w:abstractNumId w:val="1"/>
  </w:num>
  <w:num w:numId="19" w16cid:durableId="1939100547">
    <w:abstractNumId w:val="0"/>
  </w:num>
  <w:num w:numId="20" w16cid:durableId="1420247358">
    <w:abstractNumId w:val="0"/>
  </w:num>
  <w:num w:numId="21" w16cid:durableId="76707818">
    <w:abstractNumId w:val="9"/>
  </w:num>
  <w:num w:numId="22" w16cid:durableId="1068458087">
    <w:abstractNumId w:val="7"/>
  </w:num>
  <w:num w:numId="23" w16cid:durableId="1482893330">
    <w:abstractNumId w:val="6"/>
  </w:num>
  <w:num w:numId="24" w16cid:durableId="1418668134">
    <w:abstractNumId w:val="5"/>
  </w:num>
  <w:num w:numId="25" w16cid:durableId="1073045500">
    <w:abstractNumId w:val="4"/>
  </w:num>
  <w:num w:numId="26" w16cid:durableId="1553886552">
    <w:abstractNumId w:val="8"/>
  </w:num>
  <w:num w:numId="27" w16cid:durableId="2010794798">
    <w:abstractNumId w:val="3"/>
  </w:num>
  <w:num w:numId="28" w16cid:durableId="1616055165">
    <w:abstractNumId w:val="2"/>
  </w:num>
  <w:num w:numId="29" w16cid:durableId="1394281753">
    <w:abstractNumId w:val="1"/>
  </w:num>
  <w:num w:numId="30" w16cid:durableId="1111507828">
    <w:abstractNumId w:val="0"/>
  </w:num>
  <w:num w:numId="31" w16cid:durableId="483737039">
    <w:abstractNumId w:val="9"/>
  </w:num>
  <w:num w:numId="32" w16cid:durableId="1067848648">
    <w:abstractNumId w:val="7"/>
  </w:num>
  <w:num w:numId="33" w16cid:durableId="2031223031">
    <w:abstractNumId w:val="6"/>
  </w:num>
  <w:num w:numId="34" w16cid:durableId="1168131834">
    <w:abstractNumId w:val="5"/>
  </w:num>
  <w:num w:numId="35" w16cid:durableId="122889507">
    <w:abstractNumId w:val="4"/>
  </w:num>
  <w:num w:numId="36" w16cid:durableId="135725168">
    <w:abstractNumId w:val="8"/>
  </w:num>
  <w:num w:numId="37" w16cid:durableId="475998267">
    <w:abstractNumId w:val="3"/>
  </w:num>
  <w:num w:numId="38" w16cid:durableId="86705430">
    <w:abstractNumId w:val="2"/>
  </w:num>
  <w:num w:numId="39" w16cid:durableId="945384549">
    <w:abstractNumId w:val="1"/>
  </w:num>
  <w:num w:numId="40" w16cid:durableId="1753428327">
    <w:abstractNumId w:val="0"/>
  </w:num>
  <w:num w:numId="41" w16cid:durableId="990333176">
    <w:abstractNumId w:val="10"/>
  </w:num>
  <w:num w:numId="42" w16cid:durableId="842281459">
    <w:abstractNumId w:val="10"/>
  </w:num>
  <w:num w:numId="43" w16cid:durableId="1471702377">
    <w:abstractNumId w:val="10"/>
  </w:num>
  <w:num w:numId="44" w16cid:durableId="7900573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IT"/>
    <w:docVar w:name="dvnumam" w:val="0"/>
    <w:docVar w:name="dvpe" w:val="782.289"/>
    <w:docVar w:name="dvrapporteur" w:val="Relatrice: "/>
    <w:docVar w:name="dvtitre" w:val="Decisione del Parlamento europeo del 10 febbraio 2026 sulla proposta della Banca centrale europea relativa alla nomina del vicepresidente del consiglio di vigilanza della Banca centrale europea(N10-0080/2025 – C10-0366/2025 – 2025/0906(NLE))"/>
  </w:docVars>
  <w:rsids>
    <w:rsidRoot w:val="00296DC9"/>
    <w:rsid w:val="00002272"/>
    <w:rsid w:val="00064002"/>
    <w:rsid w:val="000677B9"/>
    <w:rsid w:val="000831BA"/>
    <w:rsid w:val="000A42CC"/>
    <w:rsid w:val="000E7DD9"/>
    <w:rsid w:val="0010095E"/>
    <w:rsid w:val="0010306E"/>
    <w:rsid w:val="00125B37"/>
    <w:rsid w:val="00187494"/>
    <w:rsid w:val="001E4C5F"/>
    <w:rsid w:val="001F32AE"/>
    <w:rsid w:val="002767FF"/>
    <w:rsid w:val="00296DC9"/>
    <w:rsid w:val="002B18FE"/>
    <w:rsid w:val="002B5493"/>
    <w:rsid w:val="00304F8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126"/>
    <w:rsid w:val="00545827"/>
    <w:rsid w:val="00560270"/>
    <w:rsid w:val="005C2568"/>
    <w:rsid w:val="005F1B17"/>
    <w:rsid w:val="006037C0"/>
    <w:rsid w:val="006631B6"/>
    <w:rsid w:val="00680577"/>
    <w:rsid w:val="006F74FA"/>
    <w:rsid w:val="00701F6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78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51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065E"/>
    <w:rsid w:val="00E35F9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AA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C6616"/>
  <w15:chartTrackingRefBased/>
  <w15:docId w15:val="{6B7E114B-05B9-43D8-99FE-3A2A40C0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4C5F"/>
    <w:pPr>
      <w:spacing w:before="480" w:after="240"/>
    </w:pPr>
  </w:style>
  <w:style w:type="paragraph" w:customStyle="1" w:styleId="NormalBold">
    <w:name w:val="NormalBold"/>
    <w:basedOn w:val="Normal"/>
    <w:rsid w:val="001E4C5F"/>
    <w:rPr>
      <w:b/>
    </w:rPr>
  </w:style>
  <w:style w:type="paragraph" w:customStyle="1" w:styleId="NormalHanging12a">
    <w:name w:val="NormalHanging12a"/>
    <w:basedOn w:val="Normal"/>
    <w:rsid w:val="001E4C5F"/>
    <w:pPr>
      <w:spacing w:after="240"/>
      <w:ind w:left="567" w:hanging="567"/>
    </w:pPr>
  </w:style>
  <w:style w:type="character" w:styleId="Hyperlink">
    <w:name w:val="Hyperlink"/>
    <w:uiPriority w:val="99"/>
    <w:rsid w:val="001E4C5F"/>
    <w:rPr>
      <w:color w:val="0000FF"/>
      <w:u w:val="single"/>
    </w:rPr>
  </w:style>
  <w:style w:type="paragraph" w:customStyle="1" w:styleId="Normal12Hanging">
    <w:name w:val="Normal12Hanging"/>
    <w:basedOn w:val="Normal"/>
    <w:rsid w:val="001E4C5F"/>
    <w:pPr>
      <w:spacing w:after="240"/>
      <w:ind w:left="357" w:hanging="357"/>
    </w:pPr>
    <w:rPr>
      <w:snapToGrid w:val="0"/>
    </w:rPr>
  </w:style>
  <w:style w:type="paragraph" w:styleId="Revision">
    <w:name w:val="Revision"/>
    <w:hidden/>
    <w:uiPriority w:val="99"/>
    <w:semiHidden/>
    <w:rsid w:val="00532126"/>
    <w:rPr>
      <w:sz w:val="24"/>
      <w:lang w:val="it-IT"/>
    </w:rPr>
  </w:style>
  <w:style w:type="character" w:styleId="FollowedHyperlink">
    <w:name w:val="FollowedHyperlink"/>
    <w:basedOn w:val="DefaultParagraphFont"/>
    <w:rsid w:val="0053212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53212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212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2126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5321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2126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618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AR_relfinale</cp:lastModifiedBy>
  <cp:revision>2</cp:revision>
  <cp:lastPrinted>2004-11-19T15:42:00Z</cp:lastPrinted>
  <dcterms:created xsi:type="dcterms:W3CDTF">2026-02-10T13:37:00Z</dcterms:created>
  <dcterms:modified xsi:type="dcterms:W3CDTF">2026-02-10T13:37:00Z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A10-0008/2026</vt:lpwstr>
  </property>
  <property fmtid="{D5CDD505-2E9C-101B-9397-08002B2CF9AE}" pid="4" name="&lt;Type&gt;">
    <vt:lpwstr>RR</vt:lpwstr>
  </property>
</Properties>
</file>