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2E78" w14:paraId="63FE4FBB" w14:textId="77777777" w:rsidTr="0010095E">
        <w:trPr>
          <w:trHeight w:hRule="exact" w:val="1418"/>
        </w:trPr>
        <w:tc>
          <w:tcPr>
            <w:tcW w:w="6804" w:type="dxa"/>
            <w:shd w:val="clear" w:color="auto" w:fill="auto"/>
            <w:vAlign w:val="center"/>
          </w:tcPr>
          <w:p w14:paraId="39B8EF6C" w14:textId="77777777" w:rsidR="00751A4A" w:rsidRPr="00032E78" w:rsidRDefault="00B249A6" w:rsidP="0010095E">
            <w:pPr>
              <w:pStyle w:val="EPName"/>
            </w:pPr>
            <w:r w:rsidRPr="00032E78">
              <w:t>Europos Parlamentas</w:t>
            </w:r>
          </w:p>
          <w:p w14:paraId="06C5C6DF" w14:textId="77777777" w:rsidR="00751A4A" w:rsidRPr="00032E78" w:rsidRDefault="005F1B17" w:rsidP="005F1B17">
            <w:pPr>
              <w:pStyle w:val="EPTerm"/>
              <w:rPr>
                <w:rStyle w:val="HideTWBExt"/>
                <w:noProof w:val="0"/>
                <w:vanish w:val="0"/>
                <w:color w:val="auto"/>
              </w:rPr>
            </w:pPr>
            <w:r w:rsidRPr="00032E78">
              <w:t>2024</w:t>
            </w:r>
            <w:r w:rsidR="00817416" w:rsidRPr="00032E78">
              <w:t>-202</w:t>
            </w:r>
            <w:r w:rsidRPr="00032E78">
              <w:t>9</w:t>
            </w:r>
          </w:p>
        </w:tc>
        <w:tc>
          <w:tcPr>
            <w:tcW w:w="2268" w:type="dxa"/>
            <w:shd w:val="clear" w:color="auto" w:fill="auto"/>
          </w:tcPr>
          <w:p w14:paraId="6C6B1B2C" w14:textId="77777777" w:rsidR="00751A4A" w:rsidRPr="00032E78" w:rsidRDefault="00187494" w:rsidP="0010095E">
            <w:pPr>
              <w:pStyle w:val="EPLogo"/>
            </w:pPr>
            <w:r w:rsidRPr="00032E78">
              <w:rPr>
                <w:noProof/>
                <w:lang w:eastAsia="ja-JP"/>
              </w:rPr>
              <w:drawing>
                <wp:inline distT="0" distB="0" distL="0" distR="0" wp14:anchorId="21673BC1" wp14:editId="106C15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45B6BD" w14:textId="77777777" w:rsidR="00D058B8" w:rsidRPr="00032E78" w:rsidRDefault="00D058B8" w:rsidP="004C5D52">
      <w:pPr>
        <w:pStyle w:val="LineTop"/>
      </w:pPr>
    </w:p>
    <w:p w14:paraId="43804986" w14:textId="77777777" w:rsidR="00680577" w:rsidRPr="00032E78" w:rsidRDefault="00B249A6" w:rsidP="00680577">
      <w:pPr>
        <w:pStyle w:val="EPBodyTA1"/>
      </w:pPr>
      <w:r w:rsidRPr="00032E78">
        <w:t>PRIIMTI TEKSTAI</w:t>
      </w:r>
    </w:p>
    <w:p w14:paraId="2B9183DB" w14:textId="77777777" w:rsidR="00D058B8" w:rsidRPr="00032E78" w:rsidRDefault="00D058B8" w:rsidP="00D058B8">
      <w:pPr>
        <w:pStyle w:val="LineBottom"/>
      </w:pPr>
    </w:p>
    <w:p w14:paraId="087C2ACD" w14:textId="3C0BC142" w:rsidR="00B249A6" w:rsidRPr="00032E78" w:rsidRDefault="00B249A6" w:rsidP="00B249A6">
      <w:pPr>
        <w:pStyle w:val="ATHeading1"/>
      </w:pPr>
      <w:bookmarkStart w:id="0" w:name="TANumber"/>
      <w:r w:rsidRPr="00032E78">
        <w:t>P10_TA(2026)00</w:t>
      </w:r>
      <w:r w:rsidR="001821C3">
        <w:t>33</w:t>
      </w:r>
      <w:bookmarkEnd w:id="0"/>
    </w:p>
    <w:p w14:paraId="1E829D77" w14:textId="77777777" w:rsidR="00B249A6" w:rsidRPr="00032E78" w:rsidRDefault="00B249A6" w:rsidP="00B249A6">
      <w:pPr>
        <w:pStyle w:val="ATHeading2"/>
      </w:pPr>
      <w:bookmarkStart w:id="1" w:name="title"/>
      <w:r w:rsidRPr="00032E78">
        <w:t>Europos Centrinio Banko priežiūros valdybos pirmininko pavaduotojo skyrimas</w:t>
      </w:r>
      <w:bookmarkEnd w:id="1"/>
    </w:p>
    <w:p w14:paraId="13DFB167" w14:textId="77777777" w:rsidR="00B249A6" w:rsidRPr="00032E78" w:rsidRDefault="00B249A6" w:rsidP="00B249A6">
      <w:pPr>
        <w:rPr>
          <w:i/>
          <w:vanish/>
        </w:rPr>
      </w:pPr>
      <w:r w:rsidRPr="00032E78">
        <w:rPr>
          <w:i/>
        </w:rPr>
        <w:fldChar w:fldCharType="begin"/>
      </w:r>
      <w:r w:rsidRPr="00032E78">
        <w:rPr>
          <w:i/>
        </w:rPr>
        <w:instrText xml:space="preserve"> TC"(</w:instrText>
      </w:r>
      <w:bookmarkStart w:id="2" w:name="DocNumber"/>
      <w:r w:rsidRPr="00032E78">
        <w:rPr>
          <w:i/>
        </w:rPr>
        <w:instrText>A10-0008/2026</w:instrText>
      </w:r>
      <w:bookmarkEnd w:id="2"/>
      <w:r w:rsidRPr="00032E78">
        <w:rPr>
          <w:i/>
        </w:rPr>
        <w:instrText xml:space="preserve"> - Pranešėja: Aurore Lalucq)"\l3 \n&gt; \* MERGEFORMAT </w:instrText>
      </w:r>
      <w:r w:rsidRPr="00032E78">
        <w:rPr>
          <w:i/>
        </w:rPr>
        <w:fldChar w:fldCharType="end"/>
      </w:r>
    </w:p>
    <w:p w14:paraId="07A587BA" w14:textId="77777777" w:rsidR="00B249A6" w:rsidRPr="00032E78" w:rsidRDefault="00B249A6" w:rsidP="00B249A6">
      <w:pPr>
        <w:rPr>
          <w:vanish/>
        </w:rPr>
      </w:pPr>
      <w:bookmarkStart w:id="3" w:name="Commission"/>
      <w:r w:rsidRPr="00032E78">
        <w:rPr>
          <w:vanish/>
        </w:rPr>
        <w:t>Ekonomikos ir pinigų politikos komitetas</w:t>
      </w:r>
      <w:bookmarkEnd w:id="3"/>
    </w:p>
    <w:p w14:paraId="74548CBC" w14:textId="77777777" w:rsidR="00B249A6" w:rsidRPr="00032E78" w:rsidRDefault="00B249A6" w:rsidP="00B249A6">
      <w:pPr>
        <w:rPr>
          <w:vanish/>
        </w:rPr>
      </w:pPr>
      <w:bookmarkStart w:id="4" w:name="PE"/>
      <w:r w:rsidRPr="00032E78">
        <w:rPr>
          <w:vanish/>
        </w:rPr>
        <w:t>PE782.289</w:t>
      </w:r>
      <w:bookmarkEnd w:id="4"/>
    </w:p>
    <w:p w14:paraId="6AA801E7" w14:textId="36476942" w:rsidR="00B249A6" w:rsidRPr="00032E78" w:rsidRDefault="00B249A6" w:rsidP="00B249A6">
      <w:pPr>
        <w:pStyle w:val="ATHeading3"/>
      </w:pPr>
      <w:bookmarkStart w:id="5" w:name="Sujet"/>
      <w:r w:rsidRPr="00032E78">
        <w:t>2026 m. vasario 1</w:t>
      </w:r>
      <w:r w:rsidR="00ED0873">
        <w:t>0</w:t>
      </w:r>
      <w:r w:rsidRPr="00032E78">
        <w:t xml:space="preserve"> d. Europos Parlamento sprendimas dėl Europos Centrinio Banko pasiūlymo dėl Europos Centrinio Banko priežiūros valdybos pirmininko pavaduotojo skyrimo</w:t>
      </w:r>
      <w:bookmarkEnd w:id="5"/>
      <w:r w:rsidRPr="00032E78">
        <w:t xml:space="preserve"> </w:t>
      </w:r>
      <w:bookmarkStart w:id="6" w:name="References"/>
      <w:r w:rsidRPr="00032E78">
        <w:t>(N10-0080/2025 – C10-0366/2025 – 2025/0906(NLE))</w:t>
      </w:r>
      <w:bookmarkEnd w:id="6"/>
    </w:p>
    <w:p w14:paraId="0959B8CC" w14:textId="77777777" w:rsidR="00496A9D" w:rsidRPr="00032E78" w:rsidRDefault="00496A9D" w:rsidP="00496A9D">
      <w:pPr>
        <w:pStyle w:val="NormalBold"/>
      </w:pPr>
      <w:r w:rsidRPr="00032E78">
        <w:t>(Pritarimas)</w:t>
      </w:r>
    </w:p>
    <w:p w14:paraId="52131C9C" w14:textId="77777777" w:rsidR="00496A9D" w:rsidRPr="00032E78" w:rsidRDefault="00496A9D" w:rsidP="00496A9D">
      <w:pPr>
        <w:pStyle w:val="EPComma"/>
      </w:pPr>
      <w:r w:rsidRPr="00032E78">
        <w:rPr>
          <w:i/>
        </w:rPr>
        <w:t>Europos Parlamentas</w:t>
      </w:r>
      <w:r w:rsidRPr="00032E78">
        <w:t>,</w:t>
      </w:r>
    </w:p>
    <w:p w14:paraId="423D76D8" w14:textId="77777777" w:rsidR="00496A9D" w:rsidRPr="00032E78" w:rsidRDefault="00496A9D" w:rsidP="00496A9D">
      <w:pPr>
        <w:spacing w:after="240"/>
        <w:ind w:left="567" w:hanging="567"/>
      </w:pPr>
      <w:r w:rsidRPr="00032E78">
        <w:t>–</w:t>
      </w:r>
      <w:r w:rsidRPr="00032E78">
        <w:tab/>
        <w:t>atsižvelgdamas į 2025 m. gruodžio 17 d. Europos Centrinio Banko pasiūlymą dėl Europos Centrinio Banko priežiūros valdybos pirmininko pavaduotojo skyrimo (C10-0366/2025),</w:t>
      </w:r>
    </w:p>
    <w:p w14:paraId="4B052511" w14:textId="77777777" w:rsidR="00496A9D" w:rsidRPr="00032E78" w:rsidRDefault="00496A9D" w:rsidP="00496A9D">
      <w:pPr>
        <w:spacing w:after="240"/>
        <w:ind w:left="567" w:hanging="567"/>
      </w:pPr>
      <w:r w:rsidRPr="00032E78">
        <w:t>–</w:t>
      </w:r>
      <w:r w:rsidRPr="00032E78">
        <w:tab/>
        <w:t>atsižvelgdamas į 2013 m. spalio 15 d. Tarybos reglamento (ES) Nr. 1024/2013, kuriuo Europos Centriniam Bankui pavedami specialūs uždaviniai, susiję su rizikos ribojimu pagrįstos kredito įstaigų priežiūros politika</w:t>
      </w:r>
      <w:r w:rsidRPr="00032E78">
        <w:rPr>
          <w:rStyle w:val="FootnoteReference"/>
        </w:rPr>
        <w:footnoteReference w:id="1"/>
      </w:r>
      <w:r w:rsidRPr="00032E78">
        <w:t>, 26 straipsnio 3 dalį,</w:t>
      </w:r>
    </w:p>
    <w:p w14:paraId="1F6BECE5" w14:textId="77777777" w:rsidR="00496A9D" w:rsidRPr="00032E78" w:rsidRDefault="00496A9D" w:rsidP="00496A9D">
      <w:pPr>
        <w:spacing w:after="240"/>
        <w:ind w:left="567" w:hanging="709"/>
      </w:pPr>
      <w:r w:rsidRPr="00032E78">
        <w:t>–</w:t>
      </w:r>
      <w:r w:rsidRPr="00032E78">
        <w:tab/>
        <w:t>atsižvelgdamas į Europos Parlamento ir Europos Centrinio Banko tarpinstitucinį susitarimą dėl demokratinės atskaitomybės vykdymo ir Europos Centriniam Bankui pavestų uždavinių vykdymo priežiūros praktinių sąlygų įgyvendinant bendrą priežiūros mechanizmą</w:t>
      </w:r>
      <w:r w:rsidRPr="00032E78">
        <w:rPr>
          <w:rStyle w:val="FootnoteReference"/>
        </w:rPr>
        <w:footnoteReference w:id="2"/>
      </w:r>
      <w:r w:rsidRPr="00032E78">
        <w:t>,</w:t>
      </w:r>
    </w:p>
    <w:p w14:paraId="0A6BE05E" w14:textId="77777777" w:rsidR="00496A9D" w:rsidRPr="00032E78" w:rsidRDefault="00496A9D" w:rsidP="00496A9D">
      <w:pPr>
        <w:spacing w:after="240"/>
        <w:ind w:left="567" w:hanging="709"/>
      </w:pPr>
      <w:r w:rsidRPr="00032E78">
        <w:t>–</w:t>
      </w:r>
      <w:r w:rsidRPr="00032E78">
        <w:tab/>
        <w:t>atsižvelgdamas į savo 2019 m. kovo 14 d. rezoliuciją dėl lyčių pusiausvyros skiriant į ES ekonomikos ir pinigų politikos srities pareigybes</w:t>
      </w:r>
      <w:r w:rsidRPr="00032E78">
        <w:rPr>
          <w:rStyle w:val="FootnoteReference"/>
        </w:rPr>
        <w:footnoteReference w:id="3"/>
      </w:r>
      <w:r w:rsidRPr="00032E78">
        <w:t>,</w:t>
      </w:r>
    </w:p>
    <w:p w14:paraId="678B1B16" w14:textId="77777777" w:rsidR="00496A9D" w:rsidRPr="00032E78" w:rsidRDefault="00496A9D" w:rsidP="00496A9D">
      <w:pPr>
        <w:spacing w:after="240"/>
        <w:ind w:left="567" w:hanging="709"/>
        <w:rPr>
          <w:b/>
        </w:rPr>
      </w:pPr>
      <w:r w:rsidRPr="00032E78">
        <w:t>–</w:t>
      </w:r>
      <w:r w:rsidRPr="00032E78">
        <w:tab/>
        <w:t>atsižvelgdamas į savo 2020 m. sausio 16 d. rezoliuciją „Ekonominės ir pinigų sąjungos institucijos ir įstaigos: interesų konfliktų, pasibaigus darbiniams santykiams viešajame sektoriuje, prevencija“</w:t>
      </w:r>
      <w:r w:rsidRPr="00032E78">
        <w:rPr>
          <w:rStyle w:val="FootnoteReference"/>
        </w:rPr>
        <w:footnoteReference w:id="4"/>
      </w:r>
      <w:r w:rsidRPr="00032E78">
        <w:t>,</w:t>
      </w:r>
    </w:p>
    <w:p w14:paraId="5E9B09E2" w14:textId="77777777" w:rsidR="00496A9D" w:rsidRPr="00032E78" w:rsidRDefault="00496A9D" w:rsidP="00496A9D">
      <w:pPr>
        <w:spacing w:after="240"/>
        <w:ind w:left="567" w:hanging="567"/>
      </w:pPr>
      <w:r w:rsidRPr="00032E78">
        <w:lastRenderedPageBreak/>
        <w:t>–</w:t>
      </w:r>
      <w:r w:rsidRPr="00032E78">
        <w:tab/>
        <w:t>atsižvelgdamas į Darbo tvarkos taisyklių 135 straipsnį,</w:t>
      </w:r>
    </w:p>
    <w:p w14:paraId="7CD71CB5" w14:textId="77777777" w:rsidR="00496A9D" w:rsidRPr="00032E78" w:rsidRDefault="00496A9D" w:rsidP="00496A9D">
      <w:pPr>
        <w:pStyle w:val="NormalHanging12a"/>
      </w:pPr>
      <w:r w:rsidRPr="00032E78">
        <w:t>–</w:t>
      </w:r>
      <w:r w:rsidRPr="00032E78">
        <w:tab/>
        <w:t>atsižvelgdamas į Ekonomikos ir pinigų politikos komiteto pranešimą (A10-0008/2026),</w:t>
      </w:r>
    </w:p>
    <w:p w14:paraId="63754463" w14:textId="77777777" w:rsidR="00496A9D" w:rsidRPr="00032E78" w:rsidRDefault="00496A9D" w:rsidP="00496A9D">
      <w:pPr>
        <w:pStyle w:val="NormalHanging12a"/>
      </w:pPr>
      <w:r w:rsidRPr="00032E78">
        <w:t>A.</w:t>
      </w:r>
      <w:r w:rsidRPr="00032E78">
        <w:tab/>
        <w:t>kadangi Reglamento (ES) Nr. 1024/2013 26 straipsnio 3 dalyje nustatyta, jog Europos Centrinis Bankas (ECB) savo pasiūlymą dėl ECB priežiūros valdybos pirmininko pavaduotojo skyrimo turi pateikti tvirtinti Parlamentui;</w:t>
      </w:r>
    </w:p>
    <w:p w14:paraId="24CD74E4" w14:textId="77777777" w:rsidR="00496A9D" w:rsidRPr="00032E78" w:rsidRDefault="00496A9D" w:rsidP="00496A9D">
      <w:pPr>
        <w:pStyle w:val="NormalHanging12a"/>
      </w:pPr>
      <w:r w:rsidRPr="00032E78">
        <w:t>B.</w:t>
      </w:r>
      <w:r w:rsidRPr="00032E78">
        <w:tab/>
        <w:t>kadangi Priežiūros valdybos pirmininko pavaduotojas renkamas iš ECB vykdomosios valdybos narių;</w:t>
      </w:r>
    </w:p>
    <w:p w14:paraId="790A0A05" w14:textId="77777777" w:rsidR="00496A9D" w:rsidRPr="00032E78" w:rsidRDefault="00496A9D" w:rsidP="00496A9D">
      <w:pPr>
        <w:pStyle w:val="NormalHanging12a"/>
      </w:pPr>
      <w:r w:rsidRPr="00032E78">
        <w:t>C.</w:t>
      </w:r>
      <w:r w:rsidRPr="00032E78">
        <w:tab/>
        <w:t>kadangi Reglamento (ES) Nr. 1024/2013 26 straipsnio 2 dalyje nustatyta, jog skiriant Priežiūros valdybos narius pagal šį reglamentą laikomasi lyčių pusiausvyros, patirties ir kvalifikacijos principų;</w:t>
      </w:r>
    </w:p>
    <w:p w14:paraId="112F4EB1" w14:textId="77777777" w:rsidR="00496A9D" w:rsidRPr="00032E78" w:rsidRDefault="00496A9D" w:rsidP="00496A9D">
      <w:pPr>
        <w:pStyle w:val="NormalHanging12a"/>
      </w:pPr>
      <w:r w:rsidRPr="00032E78">
        <w:t>D.</w:t>
      </w:r>
      <w:r w:rsidRPr="00032E78">
        <w:tab/>
        <w:t>kadangi Parlamentas yra įsipareigojęs užtikrinti lyčių pusiausvyrą aukščiausiuose postuose bankininkystės ir finansinių paslaugų srityje; kadangi visos Sąjungos ir nacionalinės institucijos ir įstaigos turi įgyvendinti konkrečias priemones lyčių pusiausvyrai užtikrinti;</w:t>
      </w:r>
    </w:p>
    <w:p w14:paraId="5EEA8CED" w14:textId="77777777" w:rsidR="00496A9D" w:rsidRPr="00032E78" w:rsidRDefault="00496A9D" w:rsidP="00496A9D">
      <w:pPr>
        <w:pStyle w:val="NormalHanging12a"/>
      </w:pPr>
      <w:r w:rsidRPr="00032E78">
        <w:t>E.</w:t>
      </w:r>
      <w:r w:rsidRPr="00032E78">
        <w:tab/>
        <w:t>kadangi pagal Sutarties dėl Europos Sąjungos veikimo 283 straipsnio 2 dalį Europos Vadovų Taryba 2020 m. gruodžio 10 d.</w:t>
      </w:r>
      <w:r w:rsidRPr="00032E78">
        <w:rPr>
          <w:vertAlign w:val="superscript"/>
        </w:rPr>
        <w:footnoteReference w:id="5"/>
      </w:r>
      <w:r w:rsidRPr="00032E78">
        <w:t xml:space="preserve"> paskyrė Franką Eldersoną ECB vykdomosios valdybos nariu aštuonerių metų kadencijai nuo 2020 m. gruodžio 15 d.;</w:t>
      </w:r>
    </w:p>
    <w:p w14:paraId="672D5BE1" w14:textId="77777777" w:rsidR="00496A9D" w:rsidRPr="00032E78" w:rsidRDefault="00496A9D" w:rsidP="00496A9D">
      <w:pPr>
        <w:pStyle w:val="NormalHanging12a"/>
      </w:pPr>
      <w:r w:rsidRPr="00032E78">
        <w:t>F.</w:t>
      </w:r>
      <w:r w:rsidRPr="00032E78">
        <w:tab/>
        <w:t>kadangi 2021 m. vasario 22 d.</w:t>
      </w:r>
      <w:r w:rsidRPr="00032E78">
        <w:rPr>
          <w:vertAlign w:val="superscript"/>
        </w:rPr>
        <w:footnoteReference w:id="6"/>
      </w:r>
      <w:r w:rsidRPr="00032E78">
        <w:t xml:space="preserve"> Taryba paskyrė Franką Eldersoną ECB priežiūros valdybos pirmininko pavaduotoju penkerių metų kadencijai nuo 2021 m. vasario 24 d.;</w:t>
      </w:r>
    </w:p>
    <w:p w14:paraId="522AA346" w14:textId="77777777" w:rsidR="00496A9D" w:rsidRPr="00032E78" w:rsidRDefault="00496A9D" w:rsidP="00496A9D">
      <w:pPr>
        <w:pStyle w:val="NormalHanging12a"/>
      </w:pPr>
      <w:r w:rsidRPr="00032E78">
        <w:t>G.</w:t>
      </w:r>
      <w:r w:rsidRPr="00032E78">
        <w:tab/>
        <w:t>kadangi 2025 m. gruodžio 17 d. laišku ECB pateikė Parlamentui pasiūlymą pratęsti ECB priežiūros valdybos pirmininko pavaduotojo Franko Eldersono kadenciją, kad jos trukmė sutaptų su jo, kaip ECB vykdomosios valdybos nario, kadencijos pabaiga;</w:t>
      </w:r>
    </w:p>
    <w:p w14:paraId="48C69AC8" w14:textId="77777777" w:rsidR="00496A9D" w:rsidRPr="00032E78" w:rsidRDefault="00496A9D" w:rsidP="00496A9D">
      <w:pPr>
        <w:pStyle w:val="NormalHanging12a"/>
      </w:pPr>
      <w:r w:rsidRPr="00032E78">
        <w:t>H.</w:t>
      </w:r>
      <w:r w:rsidRPr="00032E78">
        <w:tab/>
        <w:t>kadangi Parlamento Ekonomikos ir pinigų reikalų komitetas ėmėsi vertinti siūlomo kandidato kvalifikaciją, visų pirma atsižvelgdamas į Tarybos reglamento (ES) Nr. 1024/2013 26 straipsnio 2 ir 3 dalyse nustatytus reikalavimus;</w:t>
      </w:r>
    </w:p>
    <w:p w14:paraId="062CC925" w14:textId="77777777" w:rsidR="00496A9D" w:rsidRPr="00032E78" w:rsidRDefault="00496A9D" w:rsidP="00496A9D">
      <w:pPr>
        <w:pStyle w:val="NormalHanging12a"/>
      </w:pPr>
      <w:r w:rsidRPr="00032E78">
        <w:t>I.</w:t>
      </w:r>
      <w:r w:rsidRPr="00032E78">
        <w:tab/>
        <w:t>kadangi 2026 m. sausio 28 d. komitetas surengė siūlomo kandidato klausymą, per kurį jis pasakė įžanginę kalbą ir atsakė į komiteto narių klausimus;</w:t>
      </w:r>
    </w:p>
    <w:p w14:paraId="7F2D45C9" w14:textId="77777777" w:rsidR="00496A9D" w:rsidRPr="00032E78" w:rsidRDefault="00496A9D" w:rsidP="00496A9D">
      <w:pPr>
        <w:spacing w:after="240"/>
        <w:ind w:left="567" w:hanging="567"/>
      </w:pPr>
      <w:r w:rsidRPr="00032E78">
        <w:t>1.</w:t>
      </w:r>
      <w:r w:rsidRPr="00032E78">
        <w:tab/>
        <w:t>pritaria tam, kad Frank Elderson būtų paskirtas Europos Centrinio Banko priežiūros valdybos pirmininko pavaduotoju;</w:t>
      </w:r>
    </w:p>
    <w:p w14:paraId="7FA43E25" w14:textId="586F5DFA" w:rsidR="00E365E1" w:rsidRPr="00032E78" w:rsidRDefault="00496A9D" w:rsidP="00B13621">
      <w:pPr>
        <w:spacing w:after="240"/>
        <w:ind w:left="567" w:hanging="567"/>
      </w:pPr>
      <w:r w:rsidRPr="00032E78">
        <w:t>2.</w:t>
      </w:r>
      <w:r w:rsidRPr="00032E78">
        <w:tab/>
        <w:t>paveda Pirmininkei perduoti šį sprendimą Tarybai, Komisijai, Europos Centriniam Bankui ir valstybių narių vyriausybėms.</w:t>
      </w:r>
    </w:p>
    <w:sectPr w:rsidR="00E365E1" w:rsidRPr="00032E78" w:rsidSect="00032E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E730C" w14:textId="77777777" w:rsidR="00B249A6" w:rsidRPr="00032E78" w:rsidRDefault="00B249A6">
      <w:r w:rsidRPr="00032E78">
        <w:separator/>
      </w:r>
    </w:p>
  </w:endnote>
  <w:endnote w:type="continuationSeparator" w:id="0">
    <w:p w14:paraId="72D408FD" w14:textId="77777777" w:rsidR="00B249A6" w:rsidRPr="00032E78" w:rsidRDefault="00B249A6">
      <w:r w:rsidRPr="00032E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00323" w14:textId="77777777" w:rsidR="00064002" w:rsidRPr="00032E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55C2" w14:textId="77777777" w:rsidR="00064002" w:rsidRPr="00032E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ABD31" w14:textId="77777777" w:rsidR="00064002" w:rsidRPr="00032E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2207D" w14:textId="77777777" w:rsidR="00B249A6" w:rsidRPr="00032E78" w:rsidRDefault="00B249A6">
      <w:r w:rsidRPr="00032E78">
        <w:separator/>
      </w:r>
    </w:p>
  </w:footnote>
  <w:footnote w:type="continuationSeparator" w:id="0">
    <w:p w14:paraId="23F7878E" w14:textId="77777777" w:rsidR="00B249A6" w:rsidRPr="00032E78" w:rsidRDefault="00B249A6">
      <w:r w:rsidRPr="00032E78">
        <w:continuationSeparator/>
      </w:r>
    </w:p>
  </w:footnote>
  <w:footnote w:id="1">
    <w:p w14:paraId="0046DC22" w14:textId="645DF9AB" w:rsidR="00496A9D" w:rsidRPr="00032E78" w:rsidRDefault="00496A9D" w:rsidP="00032E78">
      <w:pPr>
        <w:pStyle w:val="FootnoteText"/>
        <w:ind w:left="567" w:hanging="567"/>
        <w:rPr>
          <w:sz w:val="24"/>
          <w:lang w:val="lt-LT"/>
        </w:rPr>
      </w:pPr>
      <w:r w:rsidRPr="00032E78">
        <w:rPr>
          <w:rStyle w:val="FootnoteReference"/>
          <w:sz w:val="24"/>
          <w:lang w:val="lt-LT"/>
        </w:rPr>
        <w:footnoteRef/>
      </w:r>
      <w:r w:rsidR="00032E78" w:rsidRPr="00032E78">
        <w:rPr>
          <w:sz w:val="24"/>
          <w:lang w:val="lt-LT"/>
        </w:rPr>
        <w:t xml:space="preserve"> </w:t>
      </w:r>
      <w:r w:rsidR="00032E78" w:rsidRPr="00032E78">
        <w:rPr>
          <w:sz w:val="24"/>
          <w:lang w:val="lt-LT"/>
        </w:rPr>
        <w:tab/>
      </w:r>
      <w:r w:rsidRPr="00032E78">
        <w:rPr>
          <w:sz w:val="24"/>
          <w:lang w:val="lt-LT"/>
        </w:rPr>
        <w:t>OL L 287, 2013 10 29, p. 63, ELI: </w:t>
      </w:r>
      <w:hyperlink r:id="rId1" w:tooltip="Prieiga prie šio dokumento per jo ELI nuorodą." w:history="1">
        <w:r w:rsidRPr="00032E78">
          <w:rPr>
            <w:rStyle w:val="Hyperlink"/>
            <w:sz w:val="24"/>
            <w:lang w:val="lt-LT"/>
          </w:rPr>
          <w:t>http://data.europa.eu/eli/reg/2013/1024/oj</w:t>
        </w:r>
      </w:hyperlink>
      <w:r w:rsidRPr="00032E78">
        <w:rPr>
          <w:sz w:val="24"/>
          <w:lang w:val="lt-LT"/>
        </w:rPr>
        <w:t>.</w:t>
      </w:r>
    </w:p>
  </w:footnote>
  <w:footnote w:id="2">
    <w:p w14:paraId="3977C0AB" w14:textId="25A20F50" w:rsidR="00496A9D" w:rsidRPr="00032E78" w:rsidRDefault="00496A9D" w:rsidP="00032E78">
      <w:pPr>
        <w:pStyle w:val="FootnoteText"/>
        <w:ind w:left="567" w:hanging="567"/>
        <w:rPr>
          <w:sz w:val="24"/>
          <w:lang w:val="lt-LT"/>
        </w:rPr>
      </w:pPr>
      <w:r w:rsidRPr="00032E78">
        <w:rPr>
          <w:rStyle w:val="FootnoteReference"/>
          <w:sz w:val="24"/>
          <w:lang w:val="lt-LT"/>
        </w:rPr>
        <w:footnoteRef/>
      </w:r>
      <w:r w:rsidR="00032E78" w:rsidRPr="00032E78">
        <w:rPr>
          <w:sz w:val="24"/>
          <w:lang w:val="lt-LT"/>
        </w:rPr>
        <w:t xml:space="preserve"> </w:t>
      </w:r>
      <w:r w:rsidR="00032E78" w:rsidRPr="00032E78">
        <w:rPr>
          <w:sz w:val="24"/>
          <w:lang w:val="lt-LT"/>
        </w:rPr>
        <w:tab/>
      </w:r>
      <w:r w:rsidRPr="00032E78">
        <w:rPr>
          <w:sz w:val="24"/>
          <w:lang w:val="lt-LT"/>
        </w:rPr>
        <w:t>OL L 320, 2013 11 30, p. 1, ELI: </w:t>
      </w:r>
      <w:hyperlink r:id="rId2" w:tooltip="Prieiga prie šio dokumento per jo ELI nuorodą." w:history="1">
        <w:r w:rsidRPr="00032E78">
          <w:rPr>
            <w:rStyle w:val="Hyperlink"/>
            <w:sz w:val="24"/>
            <w:lang w:val="lt-LT"/>
          </w:rPr>
          <w:t>http://data.europa.eu/eli/agree_interinstit/2013/1130/oj</w:t>
        </w:r>
      </w:hyperlink>
      <w:r w:rsidRPr="00032E78">
        <w:rPr>
          <w:sz w:val="24"/>
          <w:lang w:val="lt-LT"/>
        </w:rPr>
        <w:t>.</w:t>
      </w:r>
    </w:p>
  </w:footnote>
  <w:footnote w:id="3">
    <w:p w14:paraId="4227426E" w14:textId="04F3B879" w:rsidR="00496A9D" w:rsidRPr="00032E78" w:rsidRDefault="00496A9D" w:rsidP="00032E78">
      <w:pPr>
        <w:pStyle w:val="FootnoteText"/>
        <w:ind w:left="567" w:hanging="567"/>
        <w:rPr>
          <w:sz w:val="24"/>
          <w:lang w:val="lt-LT"/>
        </w:rPr>
      </w:pPr>
      <w:r w:rsidRPr="00032E78">
        <w:rPr>
          <w:rStyle w:val="FootnoteReference"/>
          <w:sz w:val="24"/>
          <w:lang w:val="lt-LT"/>
        </w:rPr>
        <w:footnoteRef/>
      </w:r>
      <w:r w:rsidR="00032E78" w:rsidRPr="00032E78">
        <w:rPr>
          <w:sz w:val="24"/>
          <w:lang w:val="lt-LT"/>
        </w:rPr>
        <w:t xml:space="preserve"> </w:t>
      </w:r>
      <w:r w:rsidR="00032E78" w:rsidRPr="00032E78">
        <w:rPr>
          <w:sz w:val="24"/>
          <w:lang w:val="lt-LT"/>
        </w:rPr>
        <w:tab/>
      </w:r>
      <w:r w:rsidRPr="00032E78">
        <w:rPr>
          <w:sz w:val="24"/>
          <w:lang w:val="lt-LT"/>
        </w:rPr>
        <w:t>OL C 23, 2021 1 21, p. 105.</w:t>
      </w:r>
    </w:p>
  </w:footnote>
  <w:footnote w:id="4">
    <w:p w14:paraId="772C43CF" w14:textId="2458BF08" w:rsidR="00496A9D" w:rsidRPr="00032E78" w:rsidRDefault="00496A9D" w:rsidP="00032E78">
      <w:pPr>
        <w:pStyle w:val="FootnoteText"/>
        <w:ind w:left="567" w:hanging="567"/>
        <w:rPr>
          <w:sz w:val="24"/>
          <w:lang w:val="lt-LT"/>
        </w:rPr>
      </w:pPr>
      <w:r w:rsidRPr="00032E78">
        <w:rPr>
          <w:rStyle w:val="FootnoteReference"/>
          <w:sz w:val="24"/>
          <w:lang w:val="lt-LT"/>
        </w:rPr>
        <w:footnoteRef/>
      </w:r>
      <w:r w:rsidR="00032E78" w:rsidRPr="00032E78">
        <w:rPr>
          <w:sz w:val="24"/>
          <w:lang w:val="lt-LT"/>
        </w:rPr>
        <w:t xml:space="preserve"> </w:t>
      </w:r>
      <w:r w:rsidR="00032E78" w:rsidRPr="00032E78">
        <w:rPr>
          <w:sz w:val="24"/>
          <w:lang w:val="lt-LT"/>
        </w:rPr>
        <w:tab/>
      </w:r>
      <w:r w:rsidRPr="00032E78">
        <w:rPr>
          <w:sz w:val="24"/>
          <w:lang w:val="lt-LT"/>
        </w:rPr>
        <w:t>OL C 270, 2021 7 7, p. 113.</w:t>
      </w:r>
    </w:p>
  </w:footnote>
  <w:footnote w:id="5">
    <w:p w14:paraId="783251D5" w14:textId="11362CAC" w:rsidR="00496A9D" w:rsidRPr="00032E78" w:rsidRDefault="00496A9D" w:rsidP="00032E78">
      <w:pPr>
        <w:pStyle w:val="FootnoteText"/>
        <w:ind w:left="567" w:hanging="567"/>
        <w:rPr>
          <w:sz w:val="24"/>
          <w:lang w:val="lt-LT"/>
        </w:rPr>
      </w:pPr>
      <w:r w:rsidRPr="00032E78">
        <w:rPr>
          <w:rStyle w:val="FootnoteReference"/>
          <w:sz w:val="24"/>
          <w:lang w:val="lt-LT"/>
        </w:rPr>
        <w:footnoteRef/>
      </w:r>
      <w:r w:rsidR="00032E78" w:rsidRPr="00032E78">
        <w:rPr>
          <w:sz w:val="24"/>
          <w:lang w:val="lt-LT"/>
        </w:rPr>
        <w:t xml:space="preserve"> </w:t>
      </w:r>
      <w:r w:rsidR="00032E78" w:rsidRPr="00032E78">
        <w:rPr>
          <w:sz w:val="24"/>
          <w:lang w:val="lt-LT"/>
        </w:rPr>
        <w:tab/>
      </w:r>
      <w:r w:rsidRPr="00032E78">
        <w:rPr>
          <w:sz w:val="24"/>
          <w:lang w:val="lt-LT"/>
        </w:rPr>
        <w:t>2020 m. gruodžio 10 d. Europos Vadovų Tarybos sprendimas (ES) 2020/2049, kuriuo skiriamas Europos Centrinio Banko vykdomosios valdybos narys (OL L 420, 2020 12 14, p. </w:t>
      </w:r>
      <w:r w:rsidRPr="00032E78">
        <w:rPr>
          <w:sz w:val="24"/>
          <w:lang w:val="lt-LT"/>
        </w:rPr>
        <w:t>22, ELI: </w:t>
      </w:r>
      <w:hyperlink r:id="rId3" w:tooltip="Prieiga prie šio dokumento per jo ELI nuorodą." w:history="1">
        <w:r w:rsidRPr="00032E78">
          <w:rPr>
            <w:rStyle w:val="Hyperlink"/>
            <w:sz w:val="24"/>
            <w:lang w:val="lt-LT"/>
          </w:rPr>
          <w:t>http://data.europa.eu/eli/dec/2020/2049/oj</w:t>
        </w:r>
      </w:hyperlink>
      <w:r w:rsidRPr="00032E78">
        <w:rPr>
          <w:sz w:val="24"/>
          <w:lang w:val="lt-LT"/>
        </w:rPr>
        <w:t>).</w:t>
      </w:r>
    </w:p>
  </w:footnote>
  <w:footnote w:id="6">
    <w:p w14:paraId="3D7A5F7A" w14:textId="028842AB" w:rsidR="00496A9D" w:rsidRPr="00032E78" w:rsidRDefault="00496A9D" w:rsidP="00032E78">
      <w:pPr>
        <w:pStyle w:val="FootnoteText"/>
        <w:ind w:left="567" w:hanging="567"/>
        <w:rPr>
          <w:sz w:val="24"/>
          <w:lang w:val="lt-LT"/>
        </w:rPr>
      </w:pPr>
      <w:r w:rsidRPr="00032E78">
        <w:rPr>
          <w:rStyle w:val="FootnoteReference"/>
          <w:sz w:val="24"/>
          <w:lang w:val="lt-LT"/>
        </w:rPr>
        <w:footnoteRef/>
      </w:r>
      <w:r w:rsidR="00032E78" w:rsidRPr="00032E78">
        <w:rPr>
          <w:sz w:val="24"/>
          <w:lang w:val="lt-LT"/>
        </w:rPr>
        <w:t xml:space="preserve"> </w:t>
      </w:r>
      <w:r w:rsidR="00032E78" w:rsidRPr="00032E78">
        <w:rPr>
          <w:sz w:val="24"/>
          <w:lang w:val="lt-LT"/>
        </w:rPr>
        <w:tab/>
      </w:r>
      <w:r w:rsidRPr="00032E78">
        <w:rPr>
          <w:sz w:val="24"/>
          <w:lang w:val="lt-LT"/>
        </w:rPr>
        <w:t>2021 m. vasario 22 d. Tarybos įgyvendinimo sprendimas (ES) 2021/325 dėl Europos Centrinio Banko priežiūros valdybos pirmininko pavaduotojo skyrimo (OL L 64, 2021 2 24, p. </w:t>
      </w:r>
      <w:r w:rsidRPr="00032E78">
        <w:rPr>
          <w:sz w:val="24"/>
          <w:lang w:val="lt-LT"/>
        </w:rPr>
        <w:t>6, ELI: </w:t>
      </w:r>
      <w:hyperlink r:id="rId4" w:tooltip="Prieiga prie šio dokumento per jo ELI nuorodą." w:history="1">
        <w:r w:rsidRPr="00032E78">
          <w:rPr>
            <w:rStyle w:val="Hyperlink"/>
            <w:sz w:val="24"/>
            <w:lang w:val="lt-LT"/>
          </w:rPr>
          <w:t>http://data.europa.eu/eli/dec_impl/2021/325/oj</w:t>
        </w:r>
      </w:hyperlink>
      <w:r w:rsidRPr="00032E78">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3F68" w14:textId="77777777" w:rsidR="00064002" w:rsidRPr="00032E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769E" w14:textId="77777777" w:rsidR="00064002" w:rsidRPr="00032E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9CA8" w14:textId="77777777" w:rsidR="00064002" w:rsidRPr="00032E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3616632">
    <w:abstractNumId w:val="9"/>
  </w:num>
  <w:num w:numId="2" w16cid:durableId="500314233">
    <w:abstractNumId w:val="9"/>
  </w:num>
  <w:num w:numId="3" w16cid:durableId="1866408647">
    <w:abstractNumId w:val="7"/>
  </w:num>
  <w:num w:numId="4" w16cid:durableId="1376731678">
    <w:abstractNumId w:val="7"/>
  </w:num>
  <w:num w:numId="5" w16cid:durableId="192502574">
    <w:abstractNumId w:val="6"/>
  </w:num>
  <w:num w:numId="6" w16cid:durableId="2128042688">
    <w:abstractNumId w:val="6"/>
  </w:num>
  <w:num w:numId="7" w16cid:durableId="969700570">
    <w:abstractNumId w:val="5"/>
  </w:num>
  <w:num w:numId="8" w16cid:durableId="380902167">
    <w:abstractNumId w:val="5"/>
  </w:num>
  <w:num w:numId="9" w16cid:durableId="1859852874">
    <w:abstractNumId w:val="4"/>
  </w:num>
  <w:num w:numId="10" w16cid:durableId="1506245010">
    <w:abstractNumId w:val="4"/>
  </w:num>
  <w:num w:numId="11" w16cid:durableId="891426587">
    <w:abstractNumId w:val="8"/>
  </w:num>
  <w:num w:numId="12" w16cid:durableId="131942622">
    <w:abstractNumId w:val="8"/>
  </w:num>
  <w:num w:numId="13" w16cid:durableId="1452478165">
    <w:abstractNumId w:val="3"/>
  </w:num>
  <w:num w:numId="14" w16cid:durableId="1710228651">
    <w:abstractNumId w:val="3"/>
  </w:num>
  <w:num w:numId="15" w16cid:durableId="1113289210">
    <w:abstractNumId w:val="2"/>
  </w:num>
  <w:num w:numId="16" w16cid:durableId="1936592306">
    <w:abstractNumId w:val="2"/>
  </w:num>
  <w:num w:numId="17" w16cid:durableId="282856009">
    <w:abstractNumId w:val="1"/>
  </w:num>
  <w:num w:numId="18" w16cid:durableId="516309419">
    <w:abstractNumId w:val="1"/>
  </w:num>
  <w:num w:numId="19" w16cid:durableId="1280180318">
    <w:abstractNumId w:val="0"/>
  </w:num>
  <w:num w:numId="20" w16cid:durableId="1012419655">
    <w:abstractNumId w:val="0"/>
  </w:num>
  <w:num w:numId="21" w16cid:durableId="1049765652">
    <w:abstractNumId w:val="9"/>
  </w:num>
  <w:num w:numId="22" w16cid:durableId="1265192009">
    <w:abstractNumId w:val="7"/>
  </w:num>
  <w:num w:numId="23" w16cid:durableId="1707214706">
    <w:abstractNumId w:val="6"/>
  </w:num>
  <w:num w:numId="24" w16cid:durableId="1941907068">
    <w:abstractNumId w:val="5"/>
  </w:num>
  <w:num w:numId="25" w16cid:durableId="1460612858">
    <w:abstractNumId w:val="4"/>
  </w:num>
  <w:num w:numId="26" w16cid:durableId="666641028">
    <w:abstractNumId w:val="8"/>
  </w:num>
  <w:num w:numId="27" w16cid:durableId="1804302459">
    <w:abstractNumId w:val="3"/>
  </w:num>
  <w:num w:numId="28" w16cid:durableId="1778677828">
    <w:abstractNumId w:val="2"/>
  </w:num>
  <w:num w:numId="29" w16cid:durableId="1124807708">
    <w:abstractNumId w:val="1"/>
  </w:num>
  <w:num w:numId="30" w16cid:durableId="147139739">
    <w:abstractNumId w:val="0"/>
  </w:num>
  <w:num w:numId="31" w16cid:durableId="425813668">
    <w:abstractNumId w:val="9"/>
  </w:num>
  <w:num w:numId="32" w16cid:durableId="1746994033">
    <w:abstractNumId w:val="7"/>
  </w:num>
  <w:num w:numId="33" w16cid:durableId="1868255415">
    <w:abstractNumId w:val="6"/>
  </w:num>
  <w:num w:numId="34" w16cid:durableId="464080802">
    <w:abstractNumId w:val="5"/>
  </w:num>
  <w:num w:numId="35" w16cid:durableId="1713918731">
    <w:abstractNumId w:val="4"/>
  </w:num>
  <w:num w:numId="36" w16cid:durableId="489178905">
    <w:abstractNumId w:val="8"/>
  </w:num>
  <w:num w:numId="37" w16cid:durableId="715541321">
    <w:abstractNumId w:val="3"/>
  </w:num>
  <w:num w:numId="38" w16cid:durableId="1709717856">
    <w:abstractNumId w:val="2"/>
  </w:num>
  <w:num w:numId="39" w16cid:durableId="1084844009">
    <w:abstractNumId w:val="1"/>
  </w:num>
  <w:num w:numId="40" w16cid:durableId="1879316232">
    <w:abstractNumId w:val="0"/>
  </w:num>
  <w:num w:numId="41" w16cid:durableId="1306544920">
    <w:abstractNumId w:val="10"/>
  </w:num>
  <w:num w:numId="42" w16cid:durableId="1710032259">
    <w:abstractNumId w:val="10"/>
  </w:num>
  <w:num w:numId="43" w16cid:durableId="1076439196">
    <w:abstractNumId w:val="10"/>
  </w:num>
  <w:num w:numId="44" w16cid:durableId="648856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8/2026"/>
    <w:docVar w:name="dvlangue" w:val="LT"/>
    <w:docVar w:name="dvnumam" w:val="0"/>
    <w:docVar w:name="dvpe" w:val="782.289"/>
    <w:docVar w:name="dvrapporteur" w:val="Pranešėja: "/>
    <w:docVar w:name="dvtitre" w:val="2026 m. vasario 11 d. Europos Parlamento sprendimas dėl Europos Centrinio Banko pasiūlymo dėl Europos Centrinio Banko priežiūros valdybos pirmininko pavaduotojo skyrimo(N10-0080/2025 – C10-0366/2025 – 2025/0906(NLE))"/>
  </w:docVars>
  <w:rsids>
    <w:rsidRoot w:val="00B249A6"/>
    <w:rsid w:val="00002272"/>
    <w:rsid w:val="00032E78"/>
    <w:rsid w:val="00064002"/>
    <w:rsid w:val="000677B9"/>
    <w:rsid w:val="000831BA"/>
    <w:rsid w:val="000A42CC"/>
    <w:rsid w:val="000E7DD9"/>
    <w:rsid w:val="0010095E"/>
    <w:rsid w:val="00125B37"/>
    <w:rsid w:val="001821C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990"/>
    <w:rsid w:val="00496A9D"/>
    <w:rsid w:val="004C0004"/>
    <w:rsid w:val="004C5D52"/>
    <w:rsid w:val="00501B1A"/>
    <w:rsid w:val="0050519A"/>
    <w:rsid w:val="005072A1"/>
    <w:rsid w:val="00514517"/>
    <w:rsid w:val="005175A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621"/>
    <w:rsid w:val="00B22876"/>
    <w:rsid w:val="00B249A6"/>
    <w:rsid w:val="00B558F0"/>
    <w:rsid w:val="00BA1F73"/>
    <w:rsid w:val="00BD48FE"/>
    <w:rsid w:val="00BD7BD8"/>
    <w:rsid w:val="00BE6ADC"/>
    <w:rsid w:val="00C05BFE"/>
    <w:rsid w:val="00C23CD4"/>
    <w:rsid w:val="00C5569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087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E1525"/>
  <w15:chartTrackingRefBased/>
  <w15:docId w15:val="{29EE9471-C2E6-4B09-A01D-7D5FAD498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96A9D"/>
    <w:pPr>
      <w:spacing w:before="480" w:after="240"/>
    </w:pPr>
  </w:style>
  <w:style w:type="paragraph" w:customStyle="1" w:styleId="NormalBold">
    <w:name w:val="NormalBold"/>
    <w:basedOn w:val="Normal"/>
    <w:rsid w:val="00496A9D"/>
    <w:rPr>
      <w:b/>
    </w:rPr>
  </w:style>
  <w:style w:type="paragraph" w:customStyle="1" w:styleId="NormalHanging12a">
    <w:name w:val="NormalHanging12a"/>
    <w:basedOn w:val="Normal"/>
    <w:rsid w:val="00496A9D"/>
    <w:pPr>
      <w:spacing w:after="240"/>
      <w:ind w:left="567" w:hanging="567"/>
    </w:pPr>
  </w:style>
  <w:style w:type="character" w:styleId="Hyperlink">
    <w:name w:val="Hyperlink"/>
    <w:rsid w:val="00496A9D"/>
    <w:rPr>
      <w:color w:val="0000FF"/>
      <w:u w:val="single"/>
    </w:rPr>
  </w:style>
  <w:style w:type="paragraph" w:styleId="Revision">
    <w:name w:val="Revision"/>
    <w:hidden/>
    <w:uiPriority w:val="99"/>
    <w:semiHidden/>
    <w:rsid w:val="005175A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2049/oj" TargetMode="External"/><Relationship Id="rId2" Type="http://schemas.openxmlformats.org/officeDocument/2006/relationships/hyperlink" Target="http://data.europa.eu/eli/agree_interinstit/2013/1130/oj" TargetMode="External"/><Relationship Id="rId1" Type="http://schemas.openxmlformats.org/officeDocument/2006/relationships/hyperlink" Target="http://data.europa.eu/eli/reg/2013/1024/oj" TargetMode="External"/><Relationship Id="rId4" Type="http://schemas.openxmlformats.org/officeDocument/2006/relationships/hyperlink" Target="http://data.europa.eu/eli/dec_impl/2021/3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3281</Characters>
  <Application>Microsoft Office Word</Application>
  <DocSecurity>0</DocSecurity>
  <Lines>142</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2026-02-10T12:44:00Z</dcterms:created>
  <dcterms:modified xsi:type="dcterms:W3CDTF">2026-02-10T12:44:00Z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A10-0008/2026</vt:lpwstr>
  </property>
  <property fmtid="{D5CDD505-2E9C-101B-9397-08002B2CF9AE}" pid="4" name="&lt;Type&gt;">
    <vt:lpwstr>RR</vt:lpwstr>
  </property>
</Properties>
</file>