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4B57" w14:paraId="0ACFEA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D805B0" w14:textId="1D57D63D" w:rsidR="00751A4A" w:rsidRPr="00F94B57" w:rsidRDefault="00BA5C3E" w:rsidP="0010095E">
            <w:pPr>
              <w:pStyle w:val="EPName"/>
            </w:pPr>
            <w:r w:rsidRPr="00F94B57">
              <w:t>Европейски</w:t>
            </w:r>
            <w:r w:rsidR="003F4F20" w:rsidRPr="00F94B57">
              <w:t xml:space="preserve"> парламент</w:t>
            </w:r>
          </w:p>
          <w:p w14:paraId="185F114C" w14:textId="13A1390E" w:rsidR="00751A4A" w:rsidRPr="00F94B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4B57">
              <w:t>2024</w:t>
            </w:r>
            <w:r w:rsidR="00BA5C3E">
              <w:t> – </w:t>
            </w:r>
            <w:r w:rsidR="00817416" w:rsidRPr="00F94B57">
              <w:t>202</w:t>
            </w:r>
            <w:r w:rsidRPr="00F94B57">
              <w:t>9</w:t>
            </w:r>
          </w:p>
        </w:tc>
        <w:tc>
          <w:tcPr>
            <w:tcW w:w="2268" w:type="dxa"/>
            <w:shd w:val="clear" w:color="auto" w:fill="auto"/>
          </w:tcPr>
          <w:p w14:paraId="12275AB7" w14:textId="77777777" w:rsidR="00751A4A" w:rsidRPr="00F94B57" w:rsidRDefault="00187494" w:rsidP="0010095E">
            <w:pPr>
              <w:pStyle w:val="EPLogo"/>
            </w:pPr>
            <w:r w:rsidRPr="00F94B57">
              <w:rPr>
                <w:noProof/>
                <w:lang w:eastAsia="ja-JP"/>
              </w:rPr>
              <w:drawing>
                <wp:inline distT="0" distB="0" distL="0" distR="0" wp14:anchorId="3DE5F162" wp14:editId="3969FE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682B20" w14:textId="77777777" w:rsidR="00D058B8" w:rsidRPr="00F94B57" w:rsidRDefault="00D058B8" w:rsidP="004C5D52">
      <w:pPr>
        <w:pStyle w:val="LineTop"/>
      </w:pPr>
    </w:p>
    <w:p w14:paraId="684B5D43" w14:textId="54C04E83" w:rsidR="00680577" w:rsidRPr="00F94B57" w:rsidRDefault="003F4F20" w:rsidP="00680577">
      <w:pPr>
        <w:pStyle w:val="EPBodyTA1"/>
      </w:pPr>
      <w:r w:rsidRPr="00F94B57">
        <w:t>ПРИЕТИ ТЕКСТОВЕ</w:t>
      </w:r>
    </w:p>
    <w:p w14:paraId="2E45D019" w14:textId="77777777" w:rsidR="00D058B8" w:rsidRPr="00F94B57" w:rsidRDefault="00D058B8" w:rsidP="00D058B8">
      <w:pPr>
        <w:pStyle w:val="LineBottom"/>
      </w:pPr>
    </w:p>
    <w:p w14:paraId="2FC9DD76" w14:textId="450CE11B" w:rsidR="003F4F20" w:rsidRPr="006B441C" w:rsidRDefault="003F4F20" w:rsidP="003F4F20">
      <w:pPr>
        <w:pStyle w:val="ATHeading1"/>
        <w:rPr>
          <w:lang w:val="en-GB"/>
        </w:rPr>
      </w:pPr>
      <w:bookmarkStart w:id="0" w:name="TANumber"/>
      <w:r w:rsidRPr="00F94B57">
        <w:t>P10_TA(2026)00</w:t>
      </w:r>
      <w:bookmarkEnd w:id="0"/>
      <w:r w:rsidR="006B441C">
        <w:rPr>
          <w:lang w:val="en-GB"/>
        </w:rPr>
        <w:t>34</w:t>
      </w:r>
    </w:p>
    <w:p w14:paraId="7A72EFD3" w14:textId="75C29487" w:rsidR="003F4F20" w:rsidRPr="00A61567" w:rsidRDefault="003F4F20" w:rsidP="003F4F20">
      <w:pPr>
        <w:pStyle w:val="ATHeading2"/>
        <w:rPr>
          <w:lang w:val="en-GB"/>
        </w:rPr>
      </w:pPr>
      <w:bookmarkStart w:id="1" w:name="title"/>
      <w:r w:rsidRPr="00911836">
        <w:t>Европейската централна банка – годишен доклад за 2025 г.</w:t>
      </w:r>
      <w:bookmarkEnd w:id="1"/>
    </w:p>
    <w:p w14:paraId="40DEF11A" w14:textId="77777777" w:rsidR="003F4F20" w:rsidRPr="00F94B57" w:rsidRDefault="003F4F20" w:rsidP="003F4F20">
      <w:pPr>
        <w:rPr>
          <w:i/>
          <w:vanish/>
        </w:rPr>
      </w:pPr>
      <w:r w:rsidRPr="00F94B57">
        <w:rPr>
          <w:i/>
        </w:rPr>
        <w:fldChar w:fldCharType="begin"/>
      </w:r>
      <w:r w:rsidRPr="00F94B57">
        <w:rPr>
          <w:i/>
        </w:rPr>
        <w:instrText xml:space="preserve"> TC"(</w:instrText>
      </w:r>
      <w:bookmarkStart w:id="2" w:name="DocNumber"/>
      <w:r w:rsidRPr="00F94B57">
        <w:rPr>
          <w:i/>
        </w:rPr>
        <w:instrText>A10-0002/2026</w:instrText>
      </w:r>
      <w:bookmarkEnd w:id="2"/>
      <w:r w:rsidRPr="00F94B57">
        <w:rPr>
          <w:i/>
        </w:rPr>
        <w:instrText xml:space="preserve"> - Докладчик: Йохан Ван </w:instrText>
      </w:r>
      <w:proofErr w:type="spellStart"/>
      <w:r w:rsidRPr="00F94B57">
        <w:rPr>
          <w:i/>
        </w:rPr>
        <w:instrText>Овертвелд</w:instrText>
      </w:r>
      <w:proofErr w:type="spellEnd"/>
      <w:r w:rsidRPr="00F94B57">
        <w:rPr>
          <w:i/>
        </w:rPr>
        <w:instrText xml:space="preserve">)"\l3 \n&gt; \* MERGEFORMAT </w:instrText>
      </w:r>
      <w:r w:rsidRPr="00F94B57">
        <w:rPr>
          <w:i/>
        </w:rPr>
        <w:fldChar w:fldCharType="end"/>
      </w:r>
    </w:p>
    <w:p w14:paraId="1F86A77D" w14:textId="77777777" w:rsidR="003F4F20" w:rsidRPr="00F94B57" w:rsidRDefault="003F4F20" w:rsidP="003F4F20">
      <w:pPr>
        <w:rPr>
          <w:vanish/>
        </w:rPr>
      </w:pPr>
      <w:bookmarkStart w:id="3" w:name="Commission"/>
      <w:r w:rsidRPr="00F94B57">
        <w:rPr>
          <w:vanish/>
        </w:rPr>
        <w:t>Комисия по икономически и парични въпроси</w:t>
      </w:r>
      <w:bookmarkEnd w:id="3"/>
    </w:p>
    <w:p w14:paraId="0326B38E" w14:textId="77777777" w:rsidR="003F4F20" w:rsidRPr="00F94B57" w:rsidRDefault="003F4F20" w:rsidP="003F4F20">
      <w:pPr>
        <w:rPr>
          <w:vanish/>
        </w:rPr>
      </w:pPr>
      <w:bookmarkStart w:id="4" w:name="PE"/>
      <w:r w:rsidRPr="00F94B57">
        <w:rPr>
          <w:vanish/>
        </w:rPr>
        <w:t>PE778.306</w:t>
      </w:r>
      <w:bookmarkEnd w:id="4"/>
    </w:p>
    <w:p w14:paraId="34B28F15" w14:textId="44C90278" w:rsidR="003F4F20" w:rsidRDefault="003F4F20" w:rsidP="003F4F20">
      <w:pPr>
        <w:pStyle w:val="ATHeading3"/>
      </w:pPr>
      <w:bookmarkStart w:id="5" w:name="Sujet"/>
      <w:r w:rsidRPr="00F94B57">
        <w:t xml:space="preserve">Резолюция на Европейския парламент от </w:t>
      </w:r>
      <w:r w:rsidR="00633E29">
        <w:t>10</w:t>
      </w:r>
      <w:r w:rsidRPr="00F94B57">
        <w:t xml:space="preserve"> </w:t>
      </w:r>
      <w:r w:rsidR="00BA5C3E">
        <w:t xml:space="preserve">февруари </w:t>
      </w:r>
      <w:r w:rsidRPr="00F94B57">
        <w:t>2026 г. относно Европейската централна банка – годишен доклад за 2025 г.</w:t>
      </w:r>
      <w:bookmarkEnd w:id="5"/>
      <w:r w:rsidRPr="00F94B57">
        <w:t xml:space="preserve"> </w:t>
      </w:r>
      <w:bookmarkStart w:id="6" w:name="References"/>
      <w:r w:rsidRPr="00F94B57">
        <w:t>(2025/2182(INI))</w:t>
      </w:r>
      <w:bookmarkEnd w:id="6"/>
    </w:p>
    <w:p w14:paraId="18ACF6AB" w14:textId="77777777" w:rsidR="00BA5C3E" w:rsidRPr="00567B5F" w:rsidRDefault="00BA5C3E" w:rsidP="00A61567"/>
    <w:p w14:paraId="3B4629EB" w14:textId="77777777" w:rsidR="00263F0D" w:rsidRPr="00F94B57" w:rsidRDefault="00263F0D" w:rsidP="00263F0D">
      <w:pPr>
        <w:pStyle w:val="Normal12"/>
      </w:pPr>
      <w:r w:rsidRPr="00F94B57">
        <w:rPr>
          <w:i/>
        </w:rPr>
        <w:t>Европейският парламент</w:t>
      </w:r>
      <w:r w:rsidRPr="00F94B57">
        <w:t>,</w:t>
      </w:r>
    </w:p>
    <w:p w14:paraId="0DC301E7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обратната връзка от страна на Европейската централна банка (ЕЦБ) от 28 април 2025 г. относно приноса, предоставен от Парламента в рамките на неговата резолюция относно годишния доклад на ЕЦБ за 2023 г.,</w:t>
      </w:r>
    </w:p>
    <w:p w14:paraId="0D2CB31E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устава на Европейската система на централните банки (ЕСЦБ) и на ЕЦБ, и по-специално членове 2, 15 и 21 от него,</w:t>
      </w:r>
    </w:p>
    <w:p w14:paraId="06E04238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член 119, член 123, параграф 1, член 125, член 127, параграфи 1 и 2, член 130, член 282, параграф 2 и член 284, параграф 3 от Договора за функционирането на Европейския съюз (ДФЕС),</w:t>
      </w:r>
    </w:p>
    <w:p w14:paraId="64591A49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членове 3 и 13 от Договора за Европейския съюз (ДЕС),</w:t>
      </w:r>
    </w:p>
    <w:p w14:paraId="49524859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диалозите по въпросите на паричната политика, проведени с председателя на ЕЦБ Кристин Лагард на 20 март 2025 г., 23 юни 2025 г. и 6 октомври 2025 г.,</w:t>
      </w:r>
    </w:p>
    <w:p w14:paraId="74AE5266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оценката от 2025 г. на стратегията на ЕЦБ в областта на паричната политика,</w:t>
      </w:r>
    </w:p>
    <w:p w14:paraId="5E9C0B9D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доклада на ЕЦБ от 2025 г. относно международната роля на еврото,</w:t>
      </w:r>
    </w:p>
    <w:p w14:paraId="237669EB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плана на ЕЦБ за климата и природата за 2024 — 2025 г.,</w:t>
      </w:r>
    </w:p>
    <w:p w14:paraId="10CA14B8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прогнозата на Евростат от 20 август 2025 г. за инфлацията и експресните оценки на Евростат от 1 октомври 2025 г.,</w:t>
      </w:r>
    </w:p>
    <w:p w14:paraId="3389A119" w14:textId="59C11A6C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брифинга на Отдела за надзор на икономическото управление и на ИПС от октомври 2025 г., озаглавен „</w:t>
      </w:r>
      <w:proofErr w:type="spellStart"/>
      <w:r w:rsidRPr="00F94B57">
        <w:t>Turning</w:t>
      </w:r>
      <w:proofErr w:type="spellEnd"/>
      <w:r w:rsidRPr="00F94B57">
        <w:t xml:space="preserve"> </w:t>
      </w:r>
      <w:proofErr w:type="spellStart"/>
      <w:r w:rsidRPr="00F94B57">
        <w:t>point</w:t>
      </w:r>
      <w:proofErr w:type="spellEnd"/>
      <w:r w:rsidRPr="00F94B57">
        <w:t xml:space="preserve"> </w:t>
      </w:r>
      <w:proofErr w:type="spellStart"/>
      <w:r w:rsidRPr="00F94B57">
        <w:t>or</w:t>
      </w:r>
      <w:proofErr w:type="spellEnd"/>
      <w:r w:rsidRPr="00F94B57">
        <w:t xml:space="preserve"> </w:t>
      </w:r>
      <w:proofErr w:type="spellStart"/>
      <w:r w:rsidRPr="00F94B57">
        <w:t>continuity</w:t>
      </w:r>
      <w:proofErr w:type="spellEnd"/>
      <w:r w:rsidRPr="00F94B57">
        <w:t xml:space="preserve">? </w:t>
      </w:r>
      <w:proofErr w:type="spellStart"/>
      <w:r w:rsidRPr="00F94B57">
        <w:t>The</w:t>
      </w:r>
      <w:proofErr w:type="spellEnd"/>
      <w:r w:rsidRPr="00F94B57">
        <w:t xml:space="preserve"> </w:t>
      </w:r>
      <w:proofErr w:type="spellStart"/>
      <w:r w:rsidRPr="00F94B57">
        <w:t>ECB’s</w:t>
      </w:r>
      <w:proofErr w:type="spellEnd"/>
      <w:r w:rsidRPr="00F94B57">
        <w:t xml:space="preserve"> 2025 </w:t>
      </w:r>
      <w:proofErr w:type="spellStart"/>
      <w:r w:rsidRPr="00F94B57">
        <w:t>strategy</w:t>
      </w:r>
      <w:proofErr w:type="spellEnd"/>
      <w:r w:rsidRPr="00F94B57">
        <w:t xml:space="preserve"> </w:t>
      </w:r>
      <w:proofErr w:type="spellStart"/>
      <w:r w:rsidRPr="00F94B57">
        <w:t>review</w:t>
      </w:r>
      <w:proofErr w:type="spellEnd"/>
      <w:r w:rsidRPr="00F94B57">
        <w:t xml:space="preserve">“ (Повратна точка или последователност? Преглед на </w:t>
      </w:r>
      <w:r w:rsidRPr="00F94B57">
        <w:lastRenderedPageBreak/>
        <w:t>стратегията на ЕЦБ за 2025 г.), публикуван от Генералната дирекция по икономика, трансформация и промишленост на Парламента</w:t>
      </w:r>
      <w:r w:rsidR="003E2D04">
        <w:rPr>
          <w:rStyle w:val="FootnoteReference"/>
        </w:rPr>
        <w:footnoteReference w:id="1"/>
      </w:r>
      <w:r w:rsidRPr="00F94B57">
        <w:t>,</w:t>
      </w:r>
    </w:p>
    <w:p w14:paraId="41F61625" w14:textId="697E8FA2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анализа на Отдела за надзор на икономическото управление и на ИПС от юни 2025 г., озаглавен „</w:t>
      </w:r>
      <w:proofErr w:type="spellStart"/>
      <w:r w:rsidRPr="00F94B57">
        <w:t>The</w:t>
      </w:r>
      <w:proofErr w:type="spellEnd"/>
      <w:r w:rsidRPr="00F94B57">
        <w:t xml:space="preserve"> </w:t>
      </w:r>
      <w:proofErr w:type="spellStart"/>
      <w:r w:rsidRPr="00F94B57">
        <w:t>silent</w:t>
      </w:r>
      <w:proofErr w:type="spellEnd"/>
      <w:r w:rsidRPr="00F94B57">
        <w:t xml:space="preserve"> </w:t>
      </w:r>
      <w:proofErr w:type="spellStart"/>
      <w:r w:rsidRPr="00F94B57">
        <w:t>hand</w:t>
      </w:r>
      <w:proofErr w:type="spellEnd"/>
      <w:r w:rsidRPr="00F94B57">
        <w:t xml:space="preserve"> </w:t>
      </w:r>
      <w:proofErr w:type="spellStart"/>
      <w:r w:rsidRPr="00F94B57">
        <w:t>of</w:t>
      </w:r>
      <w:proofErr w:type="spellEnd"/>
      <w:r w:rsidRPr="00F94B57">
        <w:t xml:space="preserve"> </w:t>
      </w:r>
      <w:proofErr w:type="spellStart"/>
      <w:r w:rsidRPr="00F94B57">
        <w:t>central</w:t>
      </w:r>
      <w:proofErr w:type="spellEnd"/>
      <w:r w:rsidRPr="00F94B57">
        <w:t xml:space="preserve"> </w:t>
      </w:r>
      <w:proofErr w:type="spellStart"/>
      <w:r w:rsidRPr="00F94B57">
        <w:t>banking</w:t>
      </w:r>
      <w:proofErr w:type="spellEnd"/>
      <w:r w:rsidRPr="00F94B57">
        <w:t xml:space="preserve">: </w:t>
      </w:r>
      <w:proofErr w:type="spellStart"/>
      <w:r w:rsidRPr="00F94B57">
        <w:t>collateral</w:t>
      </w:r>
      <w:proofErr w:type="spellEnd"/>
      <w:r w:rsidRPr="00F94B57">
        <w:t xml:space="preserve"> </w:t>
      </w:r>
      <w:proofErr w:type="spellStart"/>
      <w:r w:rsidRPr="00F94B57">
        <w:t>framework</w:t>
      </w:r>
      <w:proofErr w:type="spellEnd"/>
      <w:r w:rsidRPr="00F94B57">
        <w:t xml:space="preserve">“ („Невидимата ръка“ на централното банкиране: рамката за </w:t>
      </w:r>
      <w:proofErr w:type="spellStart"/>
      <w:r w:rsidRPr="00F94B57">
        <w:t>обезпеченията</w:t>
      </w:r>
      <w:proofErr w:type="spellEnd"/>
      <w:r w:rsidRPr="00F94B57">
        <w:t>), публикуван от Генералната дирекция по икономика, трансформация и промишленост</w:t>
      </w:r>
      <w:r w:rsidR="003E2D04">
        <w:rPr>
          <w:rStyle w:val="FootnoteReference"/>
        </w:rPr>
        <w:footnoteReference w:id="2"/>
      </w:r>
      <w:r w:rsidRPr="00F94B57">
        <w:t xml:space="preserve"> на Парламента,</w:t>
      </w:r>
    </w:p>
    <w:p w14:paraId="18BC7005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член 55 от своя Правилник за дейността,</w:t>
      </w:r>
    </w:p>
    <w:p w14:paraId="10223CD9" w14:textId="77777777" w:rsidR="00263F0D" w:rsidRPr="00F94B57" w:rsidRDefault="00263F0D" w:rsidP="00263F0D">
      <w:pPr>
        <w:pStyle w:val="NormalHanging"/>
      </w:pPr>
      <w:r w:rsidRPr="00F94B57">
        <w:t>–</w:t>
      </w:r>
      <w:r w:rsidRPr="00F94B57">
        <w:tab/>
        <w:t>като взе предвид доклада на комисията по икономически и парични въпроси (A10-0002/2026),</w:t>
      </w:r>
    </w:p>
    <w:p w14:paraId="0C84F9D2" w14:textId="77777777" w:rsidR="00263F0D" w:rsidRPr="00F94B57" w:rsidRDefault="00263F0D" w:rsidP="00263F0D">
      <w:pPr>
        <w:pStyle w:val="NormalHanging"/>
      </w:pPr>
      <w:r w:rsidRPr="00F94B57">
        <w:t>А.</w:t>
      </w:r>
      <w:r w:rsidRPr="00F94B57">
        <w:tab/>
        <w:t>като има предвид, че според Евростат през октомври 2025 г. годишната инфлация в ЕС е била 2,5%, а инфлацията в еврозоната — 2,1%, измерени с помощта на хармонизирания индекс на потребителските цени (ХИПЦ);</w:t>
      </w:r>
    </w:p>
    <w:p w14:paraId="6470AE7A" w14:textId="77777777" w:rsidR="00263F0D" w:rsidRPr="00F94B57" w:rsidRDefault="00263F0D" w:rsidP="00263F0D">
      <w:pPr>
        <w:pStyle w:val="NormalHanging"/>
      </w:pPr>
      <w:r w:rsidRPr="00F94B57">
        <w:t>Б.</w:t>
      </w:r>
      <w:r w:rsidRPr="00F94B57">
        <w:tab/>
        <w:t>като има предвид, че според проучването на ЕЦБ от октомври 2025 г. за очакванията на потребителите средните очаквания за инфлацията все още са над 2%;</w:t>
      </w:r>
    </w:p>
    <w:p w14:paraId="51E25935" w14:textId="77777777" w:rsidR="00263F0D" w:rsidRPr="00F94B57" w:rsidRDefault="00263F0D" w:rsidP="00263F0D">
      <w:pPr>
        <w:pStyle w:val="NormalHanging"/>
      </w:pPr>
      <w:r w:rsidRPr="00F94B57">
        <w:t>В.</w:t>
      </w:r>
      <w:r w:rsidRPr="00F94B57">
        <w:tab/>
        <w:t>като има предвид, че целта на ЕЦБ по отношение на инфлацията се промени с течение на времето от референтна стойност „под 2%“ на цел „под, но близо до 2%“ и на симетрична цел от „2%“ в средносрочен план;</w:t>
      </w:r>
    </w:p>
    <w:p w14:paraId="73852CC1" w14:textId="77777777" w:rsidR="00263F0D" w:rsidRPr="00F94B57" w:rsidRDefault="00263F0D" w:rsidP="00263F0D">
      <w:pPr>
        <w:pStyle w:val="NormalHanging"/>
      </w:pPr>
      <w:r w:rsidRPr="00F94B57">
        <w:t>Г.</w:t>
      </w:r>
      <w:r w:rsidRPr="00F94B57">
        <w:tab/>
        <w:t>като има предвид, че пределното кредитно улеснение и лихвеният процент по депозитното улеснение създадоха тесен коридор около лихвения процент по основните операции по рефинансиране;</w:t>
      </w:r>
    </w:p>
    <w:p w14:paraId="5712D489" w14:textId="7ADACCE9" w:rsidR="00263F0D" w:rsidRPr="00F94B57" w:rsidRDefault="00263F0D" w:rsidP="00263F0D">
      <w:pPr>
        <w:pStyle w:val="NormalHanging"/>
      </w:pPr>
      <w:r w:rsidRPr="00F94B57">
        <w:t>Д.</w:t>
      </w:r>
      <w:r w:rsidRPr="00F94B57">
        <w:tab/>
        <w:t>като има предвид, че границите на ЕЦБ при закупуването на държавен дълг непрекъснато се разширяват — от програмата за пазарите на ценни книжа до окончателните парични сделки, както и програмата за закупуване на активи на публичния сектор, програмата за закупуване на активи в условията на извънредна ситуация, причинена от пандемия, и инструмента за защита на трансмисионния механизъм</w:t>
      </w:r>
      <w:r w:rsidR="003E2D04">
        <w:rPr>
          <w:rStyle w:val="FootnoteReference"/>
        </w:rPr>
        <w:footnoteReference w:id="3"/>
      </w:r>
      <w:r w:rsidRPr="00F94B57">
        <w:t>;</w:t>
      </w:r>
    </w:p>
    <w:p w14:paraId="08705F51" w14:textId="77777777" w:rsidR="00263F0D" w:rsidRPr="00F94B57" w:rsidRDefault="00263F0D" w:rsidP="00263F0D">
      <w:pPr>
        <w:pStyle w:val="NormalHanging"/>
      </w:pPr>
      <w:r w:rsidRPr="00F94B57">
        <w:t>Е.</w:t>
      </w:r>
      <w:r w:rsidRPr="00F94B57">
        <w:tab/>
        <w:t xml:space="preserve">като има предвид, че реинвестициите по програмата за закупуване на активи (ПЗА) бяха преустановени считано от юли 2023 г., а в случая на програмата за закупуване на активи в условията на извънредна ситуация, причинена от </w:t>
      </w:r>
      <w:r w:rsidRPr="00F94B57">
        <w:lastRenderedPageBreak/>
        <w:t>пандемия — считано от декември 2024 г., като по този начин се очерта път в посока към намаляване на размера на счетоводния баланс на ЕЦБ;</w:t>
      </w:r>
    </w:p>
    <w:p w14:paraId="5A056E35" w14:textId="77777777" w:rsidR="00263F0D" w:rsidRPr="00F94B57" w:rsidRDefault="00263F0D" w:rsidP="00263F0D">
      <w:pPr>
        <w:pStyle w:val="NormalHanging"/>
      </w:pPr>
      <w:r w:rsidRPr="00F94B57">
        <w:t>Ж.</w:t>
      </w:r>
      <w:r w:rsidRPr="00F94B57">
        <w:tab/>
        <w:t>като има предвид, че дефлацията може да бъде благоприятна последица от технологичния напредък;</w:t>
      </w:r>
    </w:p>
    <w:p w14:paraId="1D61C18C" w14:textId="77777777" w:rsidR="00263F0D" w:rsidRPr="00F94B57" w:rsidRDefault="00263F0D" w:rsidP="00263F0D">
      <w:pPr>
        <w:pStyle w:val="NormalHanging"/>
      </w:pPr>
      <w:r w:rsidRPr="00F94B57">
        <w:t>З.</w:t>
      </w:r>
      <w:r w:rsidRPr="00F94B57">
        <w:tab/>
        <w:t>като има предвид, че член 123 от ДФЕС и член 21 от устава на ЕСЦБ и на ЕЦБ забраняват прякото парично финансиране на държавите;</w:t>
      </w:r>
    </w:p>
    <w:p w14:paraId="4A4AC69D" w14:textId="77777777" w:rsidR="00263F0D" w:rsidRPr="00F94B57" w:rsidRDefault="00263F0D" w:rsidP="00263F0D">
      <w:pPr>
        <w:pStyle w:val="Normal12a"/>
      </w:pPr>
      <w:r w:rsidRPr="00F94B57">
        <w:rPr>
          <w:b/>
          <w:i/>
        </w:rPr>
        <w:t>Управление</w:t>
      </w:r>
    </w:p>
    <w:p w14:paraId="31B25C10" w14:textId="77777777" w:rsidR="00263F0D" w:rsidRPr="00F94B57" w:rsidRDefault="00263F0D" w:rsidP="00263F0D">
      <w:pPr>
        <w:pStyle w:val="NormalHanging12a"/>
      </w:pPr>
      <w:r w:rsidRPr="00F94B57">
        <w:t>1.</w:t>
      </w:r>
      <w:r w:rsidRPr="00F94B57">
        <w:tab/>
        <w:t>припомня, че съгласно член 127 от ДФЕС „основната цел на Европейска система на централните банки, наричана по-нататък „ЕСЦБ“, е да поддържа ценова стабилност. Без да се накърнява тази цел, ЕСЦБ подкрепя основните икономически политики на Съюза с цел да допринесе за постигането на неговите цели, както са посочени в член 3 от Договора за Европейския съюз. ЕСЦБ действа в съответствие с принципа на отворената пазарна икономика при свободна конкуренция, като подкрепя ефективното разпределение на ресурсите и спазва принципите, посочени в член 119“;</w:t>
      </w:r>
    </w:p>
    <w:p w14:paraId="2282A24A" w14:textId="77777777" w:rsidR="00263F0D" w:rsidRPr="00F94B57" w:rsidRDefault="00263F0D" w:rsidP="00263F0D">
      <w:pPr>
        <w:pStyle w:val="NormalHanging12a"/>
      </w:pPr>
      <w:r w:rsidRPr="00F94B57">
        <w:t>2.</w:t>
      </w:r>
      <w:r w:rsidRPr="00F94B57">
        <w:tab/>
        <w:t>подчертава, че установеният в Договорите статут на независимост на ЕЦБ е предпоставка за изпълнението на нейната цел да поддържа ценова стабилност;</w:t>
      </w:r>
    </w:p>
    <w:p w14:paraId="0898A782" w14:textId="77777777" w:rsidR="00263F0D" w:rsidRPr="00F94B57" w:rsidRDefault="00263F0D" w:rsidP="00263F0D">
      <w:pPr>
        <w:pStyle w:val="NormalHanging12a"/>
      </w:pPr>
      <w:r w:rsidRPr="00F94B57">
        <w:t>3.</w:t>
      </w:r>
      <w:r w:rsidRPr="00F94B57">
        <w:tab/>
        <w:t>подчертава, че ЕЦБ се отчита пред Парламента; подчертава, че ЕЦБ трябва да взема решения, за да изпълнява задачите си без политическа намеса; отбелязва, че централните банки следва да бъдат независими, но не и изолирани;</w:t>
      </w:r>
    </w:p>
    <w:p w14:paraId="635EE9A9" w14:textId="77777777" w:rsidR="00263F0D" w:rsidRPr="00F94B57" w:rsidRDefault="00263F0D" w:rsidP="00263F0D">
      <w:pPr>
        <w:pStyle w:val="NormalHanging12a"/>
      </w:pPr>
      <w:r w:rsidRPr="00F94B57">
        <w:t>4.</w:t>
      </w:r>
      <w:r w:rsidRPr="00F94B57">
        <w:tab/>
        <w:t>отбелязва значението на прозрачността за отчетността и необходимостта от силни институционални структури и механизми за отчетност; приветства във връзка с това договореностите под формата на размяна на писма между Европейския парламент и ЕЦБ относно структурирането на практиките за взаимодействие в областта на централното банкиране;</w:t>
      </w:r>
    </w:p>
    <w:p w14:paraId="4B36E484" w14:textId="77777777" w:rsidR="00263F0D" w:rsidRPr="00F94B57" w:rsidRDefault="00263F0D" w:rsidP="00263F0D">
      <w:pPr>
        <w:pStyle w:val="NormalHanging12a"/>
      </w:pPr>
      <w:r w:rsidRPr="00F94B57">
        <w:t>5.</w:t>
      </w:r>
      <w:r w:rsidRPr="00F94B57">
        <w:tab/>
        <w:t>приканва ЕЦБ да положи усилия за укрепване на инструментите, които повишават прозрачността, например референтните показатели, информацията в нейните основани на модели хипотези и оценките на Управителния съвет за динамиката на инфлацията;</w:t>
      </w:r>
    </w:p>
    <w:p w14:paraId="13E979EB" w14:textId="77777777" w:rsidR="00263F0D" w:rsidRDefault="00263F0D" w:rsidP="00263F0D">
      <w:pPr>
        <w:pStyle w:val="NormalHanging12a"/>
        <w:rPr>
          <w:lang w:val="en-GB"/>
        </w:rPr>
      </w:pPr>
      <w:r w:rsidRPr="00F94B57">
        <w:t>6.</w:t>
      </w:r>
      <w:r w:rsidRPr="00F94B57">
        <w:tab/>
        <w:t>приветства независимостта на ЕЦБ, заложена в член 130 от ДФЕС; подчертава, че независимостта изисква действията на ЕЦБ да продължат да бъдат аполитични;</w:t>
      </w:r>
    </w:p>
    <w:p w14:paraId="4D309859" w14:textId="4A36D676" w:rsidR="003B62FD" w:rsidRPr="00A61567" w:rsidRDefault="003B62FD" w:rsidP="00263F0D">
      <w:pPr>
        <w:pStyle w:val="NormalHanging12a"/>
        <w:rPr>
          <w:lang w:val="en-GB"/>
        </w:rPr>
      </w:pPr>
      <w:r w:rsidRPr="00A61567">
        <w:t>7.</w:t>
      </w:r>
      <w:r w:rsidRPr="00A61567">
        <w:tab/>
        <w:t xml:space="preserve">споделя изявлението за солидарност </w:t>
      </w:r>
      <w:r w:rsidR="00582039">
        <w:t>с</w:t>
      </w:r>
      <w:r w:rsidRPr="00A61567">
        <w:t xml:space="preserve"> Федералния резерв на САЩ, направено от ЕЦБ и централните банки по света, в което се подчертава, че е важно да се запази независимостта на централните банки при пълно зачитане на принципите на правовата държава и демократичната отчетност</w:t>
      </w:r>
      <w:r>
        <w:rPr>
          <w:lang w:val="en-GB"/>
        </w:rPr>
        <w:t>;</w:t>
      </w:r>
    </w:p>
    <w:p w14:paraId="7EF6D74D" w14:textId="77777777" w:rsidR="00263F0D" w:rsidRPr="00F94B57" w:rsidRDefault="00263F0D" w:rsidP="00263F0D">
      <w:pPr>
        <w:pStyle w:val="Normal12a"/>
      </w:pPr>
      <w:r w:rsidRPr="00F94B57">
        <w:rPr>
          <w:b/>
          <w:i/>
        </w:rPr>
        <w:t>Парична политика</w:t>
      </w:r>
    </w:p>
    <w:p w14:paraId="5EAEA83F" w14:textId="006810BC" w:rsidR="00263F0D" w:rsidRPr="00F94B57" w:rsidRDefault="0098521C" w:rsidP="00263F0D">
      <w:pPr>
        <w:pStyle w:val="NormalHanging12a"/>
      </w:pPr>
      <w:r>
        <w:t>8</w:t>
      </w:r>
      <w:r w:rsidR="00263F0D" w:rsidRPr="00F94B57">
        <w:t>.</w:t>
      </w:r>
      <w:r w:rsidR="00263F0D" w:rsidRPr="00F94B57">
        <w:tab/>
        <w:t>подчертава основната цел на ЕЦБ да поддържа ценова стабилност, която е едно от необходимите условия за растеж, конкурентоспособност и икономическа стабилност в Съюза;</w:t>
      </w:r>
    </w:p>
    <w:p w14:paraId="6D795BB7" w14:textId="3356BF82" w:rsidR="00263F0D" w:rsidRPr="00F94B57" w:rsidRDefault="0098521C" w:rsidP="00263F0D">
      <w:pPr>
        <w:pStyle w:val="NormalHanging12a"/>
      </w:pPr>
      <w:r>
        <w:lastRenderedPageBreak/>
        <w:t>9</w:t>
      </w:r>
      <w:r w:rsidR="00263F0D" w:rsidRPr="00F94B57">
        <w:t>.</w:t>
      </w:r>
      <w:r w:rsidR="00263F0D" w:rsidRPr="00F94B57">
        <w:tab/>
        <w:t>изразява загриженост във връзка с високите равнища на инфлация през годините след пандемията от COVID-19, породени от сътресенията в предлагането; отбелязва, че навременното възстановяване на ценовата стабилност през този период щеше да е оправдано чрез решения на ЕЦБ; приканва ЕЦБ да направи задълбочена оценка на причините за тези високи равнища на инфлация в своя годишен доклад, заедно с набор от препоръки за политики за извличане на правилните заключения от евентуални бъдещи инфлационни кризи;</w:t>
      </w:r>
    </w:p>
    <w:p w14:paraId="63C06BB9" w14:textId="21FDB572" w:rsidR="00263F0D" w:rsidRDefault="0098521C" w:rsidP="00263F0D">
      <w:pPr>
        <w:pStyle w:val="NormalHanging12a"/>
        <w:rPr>
          <w:lang w:val="en-GB"/>
        </w:rPr>
      </w:pPr>
      <w:r>
        <w:t>10</w:t>
      </w:r>
      <w:r w:rsidR="00263F0D" w:rsidRPr="00F94B57">
        <w:t>.</w:t>
      </w:r>
      <w:r w:rsidR="00263F0D" w:rsidRPr="00F94B57">
        <w:tab/>
        <w:t>приветства спада на инфлацията спрямо равнищата през 2022 и 2023 г., както и неотдавнашното стабилизиране на инфлацията; отбелязва, че ЕЦБ намали лихвения процент по депозитите с 200 базисни пункта между юни 2024 г. и юни 2025 г.; признава постоянния риск от ново покачване на инфлацията; подчертава, че следващите стъпки за смекчаване на паричната политика следва да бъдат предпазливи, да се основават на данни и да бъдат ръководени от стремежа към ценовата стабилност;</w:t>
      </w:r>
    </w:p>
    <w:p w14:paraId="3212044B" w14:textId="1B57FFCF" w:rsidR="003B62FD" w:rsidRPr="003B62FD" w:rsidRDefault="0098521C" w:rsidP="00263F0D">
      <w:pPr>
        <w:pStyle w:val="NormalHanging12a"/>
      </w:pPr>
      <w:r>
        <w:t>11</w:t>
      </w:r>
      <w:r w:rsidR="003B62FD" w:rsidRPr="00A61567">
        <w:t>.</w:t>
      </w:r>
      <w:r w:rsidR="003B62FD" w:rsidRPr="00A61567">
        <w:tab/>
        <w:t>изразява загриженост относно високите разходи за живот, тъй като цените на хранителните продукти и енергията се повишиха в Европа след пандемията от COVID-19; отбелязва, че средната цена на едно хранене в еврозоната през 2025 г. беше с една трета по-висока</w:t>
      </w:r>
      <w:r w:rsidR="003B62FD">
        <w:rPr>
          <w:rStyle w:val="FootnoteReference"/>
        </w:rPr>
        <w:footnoteReference w:id="4"/>
      </w:r>
      <w:r w:rsidR="003B62FD" w:rsidRPr="00A61567">
        <w:t>, отколкото преди пандемията, което особено засегна домакинствата с ниски доходи;</w:t>
      </w:r>
    </w:p>
    <w:p w14:paraId="67F175F1" w14:textId="1D26A8C3" w:rsidR="00263F0D" w:rsidRPr="00F94B57" w:rsidRDefault="0098521C" w:rsidP="00263F0D">
      <w:pPr>
        <w:pStyle w:val="NormalHanging12a"/>
      </w:pPr>
      <w:r>
        <w:t>12</w:t>
      </w:r>
      <w:r w:rsidR="00263F0D" w:rsidRPr="00F94B57">
        <w:t>.</w:t>
      </w:r>
      <w:r w:rsidR="00263F0D" w:rsidRPr="00F94B57">
        <w:tab/>
        <w:t>подчертава по-специално потенциално изкривяващото въздействие на геополитическата несигурност, рисковете за енергийната сигурност и смущенията в търговията върху промените на цените;</w:t>
      </w:r>
    </w:p>
    <w:p w14:paraId="3546814F" w14:textId="6F250C37" w:rsidR="00263F0D" w:rsidRPr="00F94B57" w:rsidRDefault="0098521C" w:rsidP="00263F0D">
      <w:pPr>
        <w:pStyle w:val="NormalHanging12a"/>
      </w:pPr>
      <w:r>
        <w:t>13</w:t>
      </w:r>
      <w:r w:rsidR="00263F0D" w:rsidRPr="00F94B57">
        <w:t>.</w:t>
      </w:r>
      <w:r w:rsidR="00263F0D" w:rsidRPr="00F94B57">
        <w:tab/>
        <w:t>приканва ЕЦБ да прави оценка на целесъобразността на своята симетрична цел, като взема предвид и качествени фактори; отбелязва оценката на стратегията за паричната политика за 2025 г. и насърчава ЕЦБ да извършва периодично такива оценки;</w:t>
      </w:r>
    </w:p>
    <w:p w14:paraId="6CDB769C" w14:textId="7B528FD7" w:rsidR="00263F0D" w:rsidRPr="00F94B57" w:rsidRDefault="0098521C" w:rsidP="00263F0D">
      <w:pPr>
        <w:pStyle w:val="NormalHanging12a"/>
      </w:pPr>
      <w:r>
        <w:t>14</w:t>
      </w:r>
      <w:r w:rsidR="00263F0D" w:rsidRPr="00F94B57">
        <w:t>.</w:t>
      </w:r>
      <w:r w:rsidR="00263F0D" w:rsidRPr="00F94B57">
        <w:tab/>
        <w:t>подчертава, че програмите на ЕЦБ за закупуване са неконвенционални инструменти на паричната политика, които имат странични ефекти; отбелязва по-специално, че програмите за закупуване на активи могат да нарушат ценовите сигнали; отбелязва, че ЕЦБ започна много постепенно да намалява счетоводния си баланс; подкрепя ЕЦБ, що се отнася до по-нататъшното намаляване на пряката ѝ роля при закупуването на ценни книжа; насърчава ЕЦБ постепенно да прекрати своите програми за закупуване на държавни облигации; изразява съжаление във връзка с въздействието на фискалната позиция върху постигането на основната цел на ЕЦБ;</w:t>
      </w:r>
    </w:p>
    <w:p w14:paraId="3A622061" w14:textId="296520AB" w:rsidR="00263F0D" w:rsidRPr="00F94B57" w:rsidRDefault="0098521C" w:rsidP="00263F0D">
      <w:pPr>
        <w:pStyle w:val="NormalHanging12a"/>
      </w:pPr>
      <w:r>
        <w:t>15</w:t>
      </w:r>
      <w:r w:rsidR="00263F0D" w:rsidRPr="00F94B57">
        <w:t>.</w:t>
      </w:r>
      <w:r w:rsidR="00263F0D" w:rsidRPr="00F94B57">
        <w:tab/>
        <w:t xml:space="preserve">изразява съжаление, че схемите на ЕЦБ за краткосрочно кредитиране до голяма степен изместиха пазара на частното междубанково финансиране след финансовата криза от 2008 г.; призовава ЕЦБ да избягва плащането на лихви по депозитите на банките, които надвишават пазарните проценти, тъй като това противоречи на принципа на отворена пазарна икономика със свободна </w:t>
      </w:r>
      <w:r w:rsidR="00263F0D" w:rsidRPr="00F94B57">
        <w:lastRenderedPageBreak/>
        <w:t>конкуренция, и да премахва всички пречки, които възпрепятстват възстановяването на краткосрочните необезпечени междубанкови пазари;</w:t>
      </w:r>
    </w:p>
    <w:p w14:paraId="6180FDAE" w14:textId="27A319D0" w:rsidR="00263F0D" w:rsidRPr="00F94B57" w:rsidRDefault="0098521C" w:rsidP="00263F0D">
      <w:pPr>
        <w:pStyle w:val="NormalHanging12a"/>
      </w:pPr>
      <w:r>
        <w:t>16</w:t>
      </w:r>
      <w:r w:rsidR="00263F0D" w:rsidRPr="00F94B57">
        <w:t>.</w:t>
      </w:r>
      <w:r w:rsidR="00263F0D" w:rsidRPr="00F94B57">
        <w:tab/>
        <w:t xml:space="preserve">подчертава, че е важно да се осигурят високи стандарти за изискванията за качество на </w:t>
      </w:r>
      <w:proofErr w:type="spellStart"/>
      <w:r w:rsidR="00263F0D" w:rsidRPr="00F94B57">
        <w:t>обезпеченията</w:t>
      </w:r>
      <w:proofErr w:type="spellEnd"/>
      <w:r w:rsidR="00263F0D" w:rsidRPr="00F94B57">
        <w:t xml:space="preserve"> в споразуменията с ЕЦБ за отпускане на заеми; признава, че стандартите относно </w:t>
      </w:r>
      <w:proofErr w:type="spellStart"/>
      <w:r w:rsidR="00263F0D" w:rsidRPr="00F94B57">
        <w:t>обезпеченията</w:t>
      </w:r>
      <w:proofErr w:type="spellEnd"/>
      <w:r w:rsidR="00263F0D" w:rsidRPr="00F94B57">
        <w:t xml:space="preserve"> могат да се използват като инструмент за провеждане на паричната политика;</w:t>
      </w:r>
    </w:p>
    <w:p w14:paraId="2C90F140" w14:textId="3722044C" w:rsidR="00263F0D" w:rsidRPr="00F94B57" w:rsidRDefault="0098521C" w:rsidP="00263F0D">
      <w:pPr>
        <w:pStyle w:val="NormalHanging12a"/>
      </w:pPr>
      <w:r>
        <w:t>17</w:t>
      </w:r>
      <w:r w:rsidR="00263F0D" w:rsidRPr="00F94B57">
        <w:t>.</w:t>
      </w:r>
      <w:r w:rsidR="00263F0D" w:rsidRPr="00F94B57">
        <w:tab/>
        <w:t>подкрепя усилията на ЕЦБ да включи жилищата, обитавани от собственици, в своя мониторинг на ценовите индекси както от съображения за представителност, така и от съображения за съпоставимост между държавите от еврозоната, при условие че се прилага хармонизиран подход, основан на стабилна методика;</w:t>
      </w:r>
    </w:p>
    <w:p w14:paraId="4F83F373" w14:textId="77777777" w:rsidR="00263F0D" w:rsidRPr="00F94B57" w:rsidRDefault="00263F0D" w:rsidP="00263F0D">
      <w:pPr>
        <w:pStyle w:val="Normal12a"/>
      </w:pPr>
      <w:r w:rsidRPr="00F94B57">
        <w:rPr>
          <w:b/>
          <w:i/>
        </w:rPr>
        <w:t>Вторична цел: подкрепа на общите икономически политики в Съюза</w:t>
      </w:r>
    </w:p>
    <w:p w14:paraId="141F5C65" w14:textId="2F0BB93E" w:rsidR="00263F0D" w:rsidRPr="00F94B57" w:rsidRDefault="0098521C" w:rsidP="00263F0D">
      <w:pPr>
        <w:pStyle w:val="NormalHanging12a"/>
      </w:pPr>
      <w:r>
        <w:t>18</w:t>
      </w:r>
      <w:r w:rsidR="00263F0D" w:rsidRPr="00F94B57">
        <w:t>.</w:t>
      </w:r>
      <w:r w:rsidR="00263F0D" w:rsidRPr="00F94B57">
        <w:tab/>
        <w:t>отбелязва, че съгласно член 127, параграф 1 от ДФЕС ЕЦБ трябва да подкрепя основните икономически политики на Съюза с цел да допринесе за постигането на целите на Съюза, както са посочени в член 3 от ДЕС, без това да засяга ангажимента ѝ да поддържа ценовата стабилност;</w:t>
      </w:r>
    </w:p>
    <w:p w14:paraId="12284B76" w14:textId="6FCE4CFF" w:rsidR="00263F0D" w:rsidRPr="00F94B57" w:rsidRDefault="0098521C" w:rsidP="00263F0D">
      <w:pPr>
        <w:pStyle w:val="NormalHanging12a"/>
      </w:pPr>
      <w:r>
        <w:t>19</w:t>
      </w:r>
      <w:r w:rsidR="00263F0D" w:rsidRPr="00F94B57">
        <w:t>.</w:t>
      </w:r>
      <w:r w:rsidR="00263F0D" w:rsidRPr="00F94B57">
        <w:tab/>
        <w:t>припомня, че евросистемата беше изградена на принципа на паричното господство;</w:t>
      </w:r>
    </w:p>
    <w:p w14:paraId="2EE3AD42" w14:textId="586CCBCB" w:rsidR="00263F0D" w:rsidRPr="00F94B57" w:rsidRDefault="0098521C" w:rsidP="00263F0D">
      <w:pPr>
        <w:pStyle w:val="NormalHanging12a"/>
      </w:pPr>
      <w:r>
        <w:t>20</w:t>
      </w:r>
      <w:r w:rsidR="00263F0D" w:rsidRPr="00F94B57">
        <w:t>.</w:t>
      </w:r>
      <w:r w:rsidR="00263F0D" w:rsidRPr="00F94B57">
        <w:tab/>
        <w:t>подчертава в контекста на Икономическия и паричен съюз и рамката на ЕС за икономическо управление значението на стабилните и устойчиви публични финанси, за да се устоява в среда с високи лихвени проценти, да се допълват усилията на ЕЦБ за поддържане на ниска инфлация, да се поддържа стабилна икономика и да се запази устойчивостта на бъдещи икономически и финансови сътресения;</w:t>
      </w:r>
    </w:p>
    <w:p w14:paraId="6F7A8A13" w14:textId="60D32002" w:rsidR="00263F0D" w:rsidRPr="00F94B57" w:rsidRDefault="0098521C" w:rsidP="00263F0D">
      <w:pPr>
        <w:pStyle w:val="NormalHanging12a"/>
      </w:pPr>
      <w:r>
        <w:t>21</w:t>
      </w:r>
      <w:r w:rsidR="00263F0D" w:rsidRPr="00F94B57">
        <w:t>.</w:t>
      </w:r>
      <w:r w:rsidR="00263F0D" w:rsidRPr="00F94B57">
        <w:tab/>
        <w:t>отбелязва разликите в салдата в TARGET2, произтичащи от трансгранични трансакции; отбелязва потенциалните рискове салдата в TARGET2 да станат структурни и предлага да се разгледа възможността за корекции на непаричната политика;</w:t>
      </w:r>
    </w:p>
    <w:p w14:paraId="4B0FF795" w14:textId="1E7FD0D5" w:rsidR="00263F0D" w:rsidRPr="00F94B57" w:rsidRDefault="0098521C" w:rsidP="00263F0D">
      <w:pPr>
        <w:pStyle w:val="NormalHanging12a"/>
      </w:pPr>
      <w:r>
        <w:t>22</w:t>
      </w:r>
      <w:r w:rsidR="00263F0D" w:rsidRPr="00F94B57">
        <w:t>.</w:t>
      </w:r>
      <w:r w:rsidR="00263F0D" w:rsidRPr="00F94B57">
        <w:tab/>
        <w:t xml:space="preserve">подчертава, че ЕЦБ следва да вземе предвид евентуалните последици от изменението на климата </w:t>
      </w:r>
      <w:r w:rsidR="003B62FD" w:rsidRPr="003B62FD">
        <w:t xml:space="preserve">единствено </w:t>
      </w:r>
      <w:r w:rsidR="00263F0D" w:rsidRPr="00F94B57">
        <w:t>от гледна точка на ценовата стабилност и в рамките на мандата си;</w:t>
      </w:r>
    </w:p>
    <w:p w14:paraId="3E99F28F" w14:textId="1C9E2CBF" w:rsidR="00263F0D" w:rsidRPr="00F94B57" w:rsidRDefault="0098521C" w:rsidP="00263F0D">
      <w:pPr>
        <w:pStyle w:val="NormalHanging12a"/>
      </w:pPr>
      <w:r>
        <w:t>23</w:t>
      </w:r>
      <w:r w:rsidR="00263F0D" w:rsidRPr="00F94B57">
        <w:t>.</w:t>
      </w:r>
      <w:r w:rsidR="00263F0D" w:rsidRPr="00F94B57">
        <w:tab/>
        <w:t>отбелязва, че концепцията за пазарна неутралност е свързана с принципа за „отворена пазарна икономика, при свободна конкуренция“; приканва ЕЦБ, без да нарушава независимостта си, да предприема действия във връзка с нарушенията на пазара и да осигурява ефективно разпределяне на ресурсите в дългосрочен план, като същевременно продължава да бъде възможно най-аполитична и запазва пазарна неутралност; подчертава, че подобни решения не следва да бъдат вземани за сметка на постигането на целта на ЕЦБ;</w:t>
      </w:r>
    </w:p>
    <w:p w14:paraId="6CB0CA7C" w14:textId="7B275035" w:rsidR="007073AF" w:rsidRPr="00A61567" w:rsidRDefault="0098521C" w:rsidP="00582039">
      <w:pPr>
        <w:pStyle w:val="NormalHanging12a"/>
        <w:rPr>
          <w:lang w:val="en-GB"/>
        </w:rPr>
      </w:pPr>
      <w:r>
        <w:t>24</w:t>
      </w:r>
      <w:r w:rsidR="00263F0D" w:rsidRPr="00F94B57">
        <w:t>.</w:t>
      </w:r>
      <w:r w:rsidR="00263F0D" w:rsidRPr="00F94B57">
        <w:tab/>
        <w:t>отбелязва, че паричните политики на ЕЦБ, насочени към изпълнение на нейната основна цел, подлежат на оценка на пропорционалността;</w:t>
      </w:r>
      <w:r w:rsidR="007073AF">
        <w:rPr>
          <w:lang w:val="en-GB"/>
        </w:rPr>
        <w:t xml:space="preserve"> </w:t>
      </w:r>
    </w:p>
    <w:p w14:paraId="69E88198" w14:textId="77777777" w:rsidR="00263F0D" w:rsidRPr="007073AF" w:rsidRDefault="00263F0D" w:rsidP="00A65FAC">
      <w:pPr>
        <w:pStyle w:val="Normal12a"/>
        <w:keepNext/>
      </w:pPr>
      <w:r w:rsidRPr="00F94B57">
        <w:rPr>
          <w:b/>
          <w:i/>
        </w:rPr>
        <w:lastRenderedPageBreak/>
        <w:t>Други аспекти</w:t>
      </w:r>
    </w:p>
    <w:p w14:paraId="46DFDCB9" w14:textId="15846352" w:rsidR="00582039" w:rsidRDefault="00582039" w:rsidP="00582039">
      <w:pPr>
        <w:pStyle w:val="NormalHanging12a"/>
      </w:pPr>
      <w:r>
        <w:rPr>
          <w:lang w:val="en-GB"/>
        </w:rPr>
        <w:t>25</w:t>
      </w:r>
      <w:r w:rsidRPr="007073AF">
        <w:rPr>
          <w:lang w:val="en-GB"/>
        </w:rPr>
        <w:t>.</w:t>
      </w:r>
      <w:r w:rsidRPr="007073AF">
        <w:rPr>
          <w:lang w:val="en-GB"/>
        </w:rPr>
        <w:tab/>
      </w:r>
      <w:r w:rsidRPr="00A61567">
        <w:t>припомня, че равният достъп до платежни услуги е от съществено значение за участието в икономическия живот; подчертава, че нарастващата цифровизация на плащанията, ако бъде оставена изключително на частни участници и участници извън ЕС, рискува да създаде нови форми на изключване както за ползвателите, така и за търговците; подчертава, че онлайн и офлайн цифровото евро следва да допринася за гарантирането на всеобщ достъп до плащания и широко приемане от страна на търговците в целия ЕС, като същевременно се зачитат изцяло стандартите за неприкосновеност на личния живот и защита на данните;</w:t>
      </w:r>
    </w:p>
    <w:p w14:paraId="17C0A267" w14:textId="2E3D03A1" w:rsidR="00263F0D" w:rsidRPr="007073AF" w:rsidRDefault="0098521C" w:rsidP="00263F0D">
      <w:pPr>
        <w:pStyle w:val="NormalHanging12a"/>
      </w:pPr>
      <w:r>
        <w:t>26</w:t>
      </w:r>
      <w:r w:rsidR="00263F0D" w:rsidRPr="007073AF">
        <w:t>.</w:t>
      </w:r>
      <w:r w:rsidR="00263F0D" w:rsidRPr="007073AF">
        <w:tab/>
        <w:t>отбелязва текущите дискусии относно цифровото евро;</w:t>
      </w:r>
      <w:r w:rsidR="007073AF" w:rsidRPr="00A61567">
        <w:t xml:space="preserve"> подчертава, че в контекста на повишена геополитическа несигурност и прекомерна зависимост от платежни инфраструктури извън ЕС въвеждането на цифрово евро, предназначено да допълва касовите и частните банкови услуги, е от съществено значение за укрепване на паричния суверенитет на ЕС, намаляване на разпокъсаността на плащанията на дребно и подкрепа за целостта и устойчивостта на единния пазар;</w:t>
      </w:r>
    </w:p>
    <w:p w14:paraId="5422F866" w14:textId="75C1136C" w:rsidR="00263F0D" w:rsidRPr="00F94B57" w:rsidRDefault="0098521C" w:rsidP="00263F0D">
      <w:pPr>
        <w:pStyle w:val="NormalHanging12a"/>
      </w:pPr>
      <w:r>
        <w:t>27</w:t>
      </w:r>
      <w:r w:rsidR="00263F0D" w:rsidRPr="007073AF">
        <w:t>.</w:t>
      </w:r>
      <w:r w:rsidR="00263F0D" w:rsidRPr="007073AF">
        <w:tab/>
        <w:t>приветства текущите проекти за технологията на разпределения регистър в</w:t>
      </w:r>
      <w:r w:rsidR="00263F0D" w:rsidRPr="00F94B57">
        <w:t xml:space="preserve"> краткосрочен (</w:t>
      </w:r>
      <w:proofErr w:type="spellStart"/>
      <w:r w:rsidR="00263F0D" w:rsidRPr="00F94B57">
        <w:t>Pontes</w:t>
      </w:r>
      <w:proofErr w:type="spellEnd"/>
      <w:r w:rsidR="00263F0D" w:rsidRPr="00F94B57">
        <w:t>) и дългосрочен (</w:t>
      </w:r>
      <w:proofErr w:type="spellStart"/>
      <w:r w:rsidR="00263F0D" w:rsidRPr="00F94B57">
        <w:t>Appia</w:t>
      </w:r>
      <w:proofErr w:type="spellEnd"/>
      <w:r w:rsidR="00263F0D" w:rsidRPr="00F94B57">
        <w:t>) план за паричен сетълмент на едро на централните банки;</w:t>
      </w:r>
    </w:p>
    <w:p w14:paraId="5CA0369F" w14:textId="0B131192" w:rsidR="00263F0D" w:rsidRPr="00F94B57" w:rsidRDefault="0098521C" w:rsidP="00263F0D">
      <w:pPr>
        <w:pStyle w:val="NormalHanging12a"/>
      </w:pPr>
      <w:r>
        <w:t>28</w:t>
      </w:r>
      <w:r w:rsidR="00263F0D" w:rsidRPr="00F94B57">
        <w:t>.</w:t>
      </w:r>
      <w:r w:rsidR="00263F0D" w:rsidRPr="00F94B57">
        <w:tab/>
        <w:t>подчертава, че е важно да се запази ролята на парите в брой; отбелязва текущите дискусии във връзка с предложението относно законното платежно средство;</w:t>
      </w:r>
    </w:p>
    <w:p w14:paraId="095C5C3D" w14:textId="7595C0EA" w:rsidR="00263F0D" w:rsidRPr="00F94B57" w:rsidRDefault="0098521C" w:rsidP="00263F0D">
      <w:pPr>
        <w:pStyle w:val="NormalHanging12a"/>
      </w:pPr>
      <w:r>
        <w:t>29</w:t>
      </w:r>
      <w:r w:rsidR="00263F0D" w:rsidRPr="00F94B57">
        <w:t>.</w:t>
      </w:r>
      <w:r w:rsidR="00263F0D" w:rsidRPr="00F94B57">
        <w:tab/>
        <w:t>призовава ЕЦБ да засили мониторинга на криптовалутите, например стабилните криптовалути;</w:t>
      </w:r>
    </w:p>
    <w:p w14:paraId="374B47E8" w14:textId="0D16B7AA" w:rsidR="00263F0D" w:rsidRPr="00F94B57" w:rsidRDefault="0098521C" w:rsidP="00263F0D">
      <w:pPr>
        <w:pStyle w:val="NormalHanging12a"/>
      </w:pPr>
      <w:r>
        <w:t>30</w:t>
      </w:r>
      <w:r w:rsidR="00263F0D" w:rsidRPr="00F94B57">
        <w:t>.</w:t>
      </w:r>
      <w:r w:rsidR="00263F0D" w:rsidRPr="00F94B57">
        <w:tab/>
        <w:t>подкрепя усилията на ЕЦБ за обезпечаване на международната роля на еврото, наред с другото чрез достатъчно линии за валутни суапове и репо сделки;</w:t>
      </w:r>
    </w:p>
    <w:p w14:paraId="5E126E83" w14:textId="3B90A28A" w:rsidR="00263F0D" w:rsidRPr="00F94B57" w:rsidRDefault="0098521C" w:rsidP="00263F0D">
      <w:pPr>
        <w:pStyle w:val="NormalHanging12a"/>
      </w:pPr>
      <w:r>
        <w:t>31</w:t>
      </w:r>
      <w:r w:rsidR="00263F0D" w:rsidRPr="00F94B57">
        <w:t>.</w:t>
      </w:r>
      <w:r w:rsidR="00263F0D" w:rsidRPr="00F94B57">
        <w:tab/>
        <w:t>приветства Република България, която от 1 януари 2026 г. стана 21-вата държава — членка на еврозоната;</w:t>
      </w:r>
    </w:p>
    <w:p w14:paraId="042692A0" w14:textId="36B8614C" w:rsidR="00263F0D" w:rsidRPr="00F94B57" w:rsidRDefault="0098521C" w:rsidP="00263F0D">
      <w:pPr>
        <w:pStyle w:val="NormalHanging12a"/>
      </w:pPr>
      <w:r>
        <w:t>32</w:t>
      </w:r>
      <w:r w:rsidR="00263F0D" w:rsidRPr="00F94B57">
        <w:t>.</w:t>
      </w:r>
      <w:r w:rsidR="00263F0D" w:rsidRPr="00F94B57">
        <w:tab/>
        <w:t>изразява загриженост относно временното прекъсване на работата на системата за брутен сетълмент в реално време T2 и T2S на ЕЦБ през февруари 2025 г.; приканва ЕЦБ да следи отблизо и да осигурява правилното функциониране на системите за сетълмент;</w:t>
      </w:r>
    </w:p>
    <w:p w14:paraId="56D3C157" w14:textId="5A79804B" w:rsidR="00263F0D" w:rsidRPr="00F94B57" w:rsidRDefault="0098521C" w:rsidP="00263F0D">
      <w:pPr>
        <w:pStyle w:val="NormalHanging12a"/>
      </w:pPr>
      <w:r>
        <w:t>33</w:t>
      </w:r>
      <w:r w:rsidR="00263F0D" w:rsidRPr="00F94B57">
        <w:t>.</w:t>
      </w:r>
      <w:r w:rsidR="00263F0D" w:rsidRPr="00F94B57">
        <w:tab/>
        <w:t>изразява загриженост във връзка с последователните загуби, понесени от ЕЦБ през 2023 и 2024 г. поради лихвения риск; отбелязва, че тези загуби не застрашиха оперативния капацитет на Евросистемата да прилага паричната си политика;</w:t>
      </w:r>
    </w:p>
    <w:p w14:paraId="14AD0FCF" w14:textId="023B955E" w:rsidR="00263F0D" w:rsidRPr="00F94B57" w:rsidRDefault="0098521C" w:rsidP="00263F0D">
      <w:pPr>
        <w:pStyle w:val="NormalHanging12a"/>
      </w:pPr>
      <w:r>
        <w:t>34</w:t>
      </w:r>
      <w:r w:rsidR="00263F0D" w:rsidRPr="00F94B57">
        <w:t>.</w:t>
      </w:r>
      <w:r w:rsidR="00263F0D" w:rsidRPr="00F94B57">
        <w:tab/>
        <w:t>подкрепя ролята на ЕЦБ за насърчаване на финансовата стабилност в рамките на единния надзорен механизъм и функцията на ЕЦБ като кредитор от последна инстанция за платежоспособни институции, срещу добро обезпечение и като се прилагат наказателни лихви, за защита на ликвидността и доверието по време на кризи;</w:t>
      </w:r>
    </w:p>
    <w:p w14:paraId="4E442C93" w14:textId="42DDDBA4" w:rsidR="00263F0D" w:rsidRPr="00F94B57" w:rsidRDefault="0098521C" w:rsidP="00263F0D">
      <w:pPr>
        <w:pStyle w:val="NormalHanging12a"/>
      </w:pPr>
      <w:r>
        <w:t>35</w:t>
      </w:r>
      <w:r w:rsidR="00263F0D" w:rsidRPr="00F94B57">
        <w:t>.</w:t>
      </w:r>
      <w:r w:rsidR="00263F0D" w:rsidRPr="00F94B57">
        <w:tab/>
        <w:t>подкрепя усилията на ЕЦБ за повишаване на финансовата грамотност в ЕС;</w:t>
      </w:r>
    </w:p>
    <w:p w14:paraId="286EDBF8" w14:textId="543FE7AA" w:rsidR="00263F0D" w:rsidRPr="00F94B57" w:rsidRDefault="0098521C" w:rsidP="00263F0D">
      <w:pPr>
        <w:pStyle w:val="NormalHanging12a"/>
      </w:pPr>
      <w:r>
        <w:t>36</w:t>
      </w:r>
      <w:r w:rsidR="00263F0D" w:rsidRPr="00F94B57">
        <w:t>.</w:t>
      </w:r>
      <w:r w:rsidR="00263F0D" w:rsidRPr="00F94B57">
        <w:tab/>
        <w:t xml:space="preserve">приветства ангажимента на ЕЦБ да полага усилия за опростяване, например като създаде работната група на високо равнище на ЕЦБ по въпросите на </w:t>
      </w:r>
      <w:r w:rsidR="00263F0D" w:rsidRPr="00F94B57">
        <w:lastRenderedPageBreak/>
        <w:t>опростяването; посочва необходимостта от висока степен на амбиция в работата и последващите действия на работната група и приветства задълбочените дискусии на ЕЦБ с Парламента;</w:t>
      </w:r>
    </w:p>
    <w:p w14:paraId="3FF98765" w14:textId="32A7415F" w:rsidR="00263F0D" w:rsidRPr="00F94B57" w:rsidRDefault="0098521C" w:rsidP="00263F0D">
      <w:pPr>
        <w:pStyle w:val="NormalHanging12a"/>
      </w:pPr>
      <w:r>
        <w:t>37</w:t>
      </w:r>
      <w:r w:rsidR="00263F0D" w:rsidRPr="00F94B57">
        <w:t>.</w:t>
      </w:r>
      <w:r w:rsidR="00263F0D" w:rsidRPr="00F94B57">
        <w:tab/>
        <w:t>призовава ЕЦБ да насърчава отворен и конструктивен вътрешен диалог; призовава за допълнително укрепване на рамките за представителство на персонала и на вътрешната рамка на ЕЦБ за подаване на сигнали за нередности;</w:t>
      </w:r>
    </w:p>
    <w:p w14:paraId="62CC0069" w14:textId="5583A078" w:rsidR="00263F0D" w:rsidRPr="00F94B57" w:rsidRDefault="0098521C" w:rsidP="00263F0D">
      <w:pPr>
        <w:pStyle w:val="NormalHanging12a"/>
      </w:pPr>
      <w:r>
        <w:t>38</w:t>
      </w:r>
      <w:r w:rsidR="00263F0D" w:rsidRPr="00F94B57">
        <w:t>.</w:t>
      </w:r>
      <w:r w:rsidR="00263F0D" w:rsidRPr="00F94B57">
        <w:tab/>
        <w:t>отново заявява, че кандидатурите за Изпълнителния съвет на ЕЦБ следва да бъдат балансирани по отношение на пола и да са основани на заслугите и способностите, като на Парламента се представят списъци с подбраните кандидати, и че хора от всички полове следва да имат равни възможности да изпълняват функциите на управители на съответните национални централни банки;</w:t>
      </w:r>
    </w:p>
    <w:p w14:paraId="4738AA5D" w14:textId="35AFF5F5" w:rsidR="00263F0D" w:rsidRPr="00F94B57" w:rsidRDefault="0098521C" w:rsidP="00263F0D">
      <w:pPr>
        <w:pStyle w:val="NormalHanging12a"/>
      </w:pPr>
      <w:r>
        <w:t>39</w:t>
      </w:r>
      <w:r w:rsidR="00263F0D" w:rsidRPr="00F94B57">
        <w:t>.</w:t>
      </w:r>
      <w:r w:rsidR="00263F0D" w:rsidRPr="00F94B57">
        <w:tab/>
        <w:t>приканва ЕСЦБ да продължи и засили диалога си с националните парламенти, като счита, че това ще укрепи легитимността и политиките на ЕСЦБ;</w:t>
      </w:r>
    </w:p>
    <w:p w14:paraId="63EC930A" w14:textId="77777777" w:rsidR="00263F0D" w:rsidRPr="00F94B57" w:rsidRDefault="00263F0D" w:rsidP="00263F0D">
      <w:pPr>
        <w:pStyle w:val="NormalCenter12a"/>
      </w:pPr>
      <w:r w:rsidRPr="00F94B57">
        <w:t>°</w:t>
      </w:r>
    </w:p>
    <w:p w14:paraId="05D1DDFF" w14:textId="77777777" w:rsidR="00263F0D" w:rsidRPr="00F94B57" w:rsidRDefault="00263F0D" w:rsidP="00263F0D">
      <w:pPr>
        <w:pStyle w:val="NormalCenter12a"/>
      </w:pPr>
      <w:r w:rsidRPr="00F94B57">
        <w:t>°</w:t>
      </w:r>
      <w:r w:rsidRPr="00F94B57">
        <w:tab/>
        <w:t>°</w:t>
      </w:r>
    </w:p>
    <w:p w14:paraId="5F3E40AC" w14:textId="3A7B9417" w:rsidR="00F94B57" w:rsidRPr="00F94B57" w:rsidRDefault="0098521C" w:rsidP="00F94B57">
      <w:pPr>
        <w:pStyle w:val="NormalHanging12a"/>
      </w:pPr>
      <w:r>
        <w:t>40</w:t>
      </w:r>
      <w:r w:rsidR="00263F0D" w:rsidRPr="00F94B57">
        <w:t>.</w:t>
      </w:r>
      <w:r w:rsidR="00263F0D" w:rsidRPr="00F94B57">
        <w:tab/>
        <w:t>възлага на своя председател да предаде настоящата резолюция съответно на Съвета и на Комисията.</w:t>
      </w:r>
    </w:p>
    <w:p w14:paraId="2743B588" w14:textId="032BFDBD" w:rsidR="00E365E1" w:rsidRPr="00F94B57" w:rsidRDefault="00E365E1" w:rsidP="003F4F20"/>
    <w:sectPr w:rsidR="00E365E1" w:rsidRPr="00F94B57" w:rsidSect="00F94B57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E0285" w14:textId="77777777" w:rsidR="003F4F20" w:rsidRPr="00F94B57" w:rsidRDefault="003F4F20">
      <w:r w:rsidRPr="00F94B57">
        <w:separator/>
      </w:r>
    </w:p>
  </w:endnote>
  <w:endnote w:type="continuationSeparator" w:id="0">
    <w:p w14:paraId="154D4E8C" w14:textId="77777777" w:rsidR="003F4F20" w:rsidRPr="00F94B57" w:rsidRDefault="003F4F20">
      <w:r w:rsidRPr="00F94B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C4D09" w14:textId="77777777" w:rsidR="003F4F20" w:rsidRPr="00F94B57" w:rsidRDefault="003F4F20">
      <w:r w:rsidRPr="00F94B57">
        <w:separator/>
      </w:r>
    </w:p>
  </w:footnote>
  <w:footnote w:type="continuationSeparator" w:id="0">
    <w:p w14:paraId="25AF16CC" w14:textId="77777777" w:rsidR="003F4F20" w:rsidRPr="00F94B57" w:rsidRDefault="003F4F20">
      <w:r w:rsidRPr="00F94B57">
        <w:continuationSeparator/>
      </w:r>
    </w:p>
  </w:footnote>
  <w:footnote w:id="1">
    <w:p w14:paraId="2736664E" w14:textId="341A4A0E" w:rsidR="003E2D04" w:rsidRPr="00F94B57" w:rsidRDefault="003E2D04" w:rsidP="00F94B57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F94B57">
        <w:rPr>
          <w:sz w:val="24"/>
          <w:vertAlign w:val="superscript"/>
          <w:lang w:val="bg-BG"/>
        </w:rPr>
        <w:t xml:space="preserve"> </w:t>
      </w:r>
      <w:r w:rsidRPr="00F94B57">
        <w:rPr>
          <w:sz w:val="24"/>
          <w:vertAlign w:val="superscript"/>
          <w:lang w:val="bg-BG"/>
        </w:rPr>
        <w:tab/>
      </w:r>
      <w:r w:rsidRPr="00F94B57">
        <w:rPr>
          <w:sz w:val="24"/>
          <w:lang w:val="bg-BG"/>
        </w:rPr>
        <w:t>Брифинг — „</w:t>
      </w:r>
      <w:proofErr w:type="spellStart"/>
      <w:r w:rsidRPr="00F94B57">
        <w:rPr>
          <w:sz w:val="24"/>
          <w:lang w:val="bg-BG"/>
        </w:rPr>
        <w:t>Turning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point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or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continuity</w:t>
      </w:r>
      <w:proofErr w:type="spellEnd"/>
      <w:r w:rsidRPr="00F94B57">
        <w:rPr>
          <w:sz w:val="24"/>
          <w:lang w:val="bg-BG"/>
        </w:rPr>
        <w:t xml:space="preserve">? </w:t>
      </w:r>
      <w:proofErr w:type="spellStart"/>
      <w:r w:rsidRPr="00F94B57">
        <w:rPr>
          <w:sz w:val="24"/>
          <w:lang w:val="bg-BG"/>
        </w:rPr>
        <w:t>The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ECB’s</w:t>
      </w:r>
      <w:proofErr w:type="spellEnd"/>
      <w:r w:rsidRPr="00F94B57">
        <w:rPr>
          <w:sz w:val="24"/>
          <w:lang w:val="bg-BG"/>
        </w:rPr>
        <w:t xml:space="preserve"> 2025 </w:t>
      </w:r>
      <w:proofErr w:type="spellStart"/>
      <w:r w:rsidRPr="00F94B57">
        <w:rPr>
          <w:sz w:val="24"/>
          <w:lang w:val="bg-BG"/>
        </w:rPr>
        <w:t>strategy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review</w:t>
      </w:r>
      <w:proofErr w:type="spellEnd"/>
      <w:r w:rsidRPr="00F94B57">
        <w:rPr>
          <w:sz w:val="24"/>
          <w:lang w:val="bg-BG"/>
        </w:rPr>
        <w:t>“, Европейски парламент, Генерална дирекция по икономика, трансформация и промишленост, Отдел за надзор на икономическото управление и на ИПС, октомври 2025 г.</w:t>
      </w:r>
    </w:p>
  </w:footnote>
  <w:footnote w:id="2">
    <w:p w14:paraId="62BC365E" w14:textId="73D5EB1C" w:rsidR="003E2D04" w:rsidRPr="00F94B57" w:rsidRDefault="003E2D04" w:rsidP="00F94B57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F94B57">
        <w:rPr>
          <w:sz w:val="24"/>
          <w:vertAlign w:val="superscript"/>
          <w:lang w:val="bg-BG"/>
        </w:rPr>
        <w:t xml:space="preserve"> </w:t>
      </w:r>
      <w:r w:rsidRPr="00F94B57">
        <w:rPr>
          <w:sz w:val="24"/>
          <w:vertAlign w:val="superscript"/>
          <w:lang w:val="bg-BG"/>
        </w:rPr>
        <w:tab/>
      </w:r>
      <w:r w:rsidRPr="00F94B57">
        <w:rPr>
          <w:sz w:val="24"/>
          <w:lang w:val="bg-BG"/>
        </w:rPr>
        <w:t>Задълбочен анализ — „</w:t>
      </w:r>
      <w:proofErr w:type="spellStart"/>
      <w:r w:rsidRPr="00F94B57">
        <w:rPr>
          <w:sz w:val="24"/>
          <w:lang w:val="bg-BG"/>
        </w:rPr>
        <w:t>The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silent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hand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of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central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banking</w:t>
      </w:r>
      <w:proofErr w:type="spellEnd"/>
      <w:r w:rsidRPr="00F94B57">
        <w:rPr>
          <w:sz w:val="24"/>
          <w:lang w:val="bg-BG"/>
        </w:rPr>
        <w:t xml:space="preserve">: </w:t>
      </w:r>
      <w:proofErr w:type="spellStart"/>
      <w:r w:rsidRPr="00F94B57">
        <w:rPr>
          <w:sz w:val="24"/>
          <w:lang w:val="bg-BG"/>
        </w:rPr>
        <w:t>collateral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framework</w:t>
      </w:r>
      <w:proofErr w:type="spellEnd"/>
      <w:r w:rsidRPr="00F94B57">
        <w:rPr>
          <w:sz w:val="24"/>
          <w:lang w:val="bg-BG"/>
        </w:rPr>
        <w:t>“, Европейски парламент, Генерална дирекция по икономика, трансформация и промишленост, Отдел за надзор на икономическото управление и на ИПС, юни 2025 г.</w:t>
      </w:r>
    </w:p>
  </w:footnote>
  <w:footnote w:id="3">
    <w:p w14:paraId="1D55AD01" w14:textId="4AB4A4C8" w:rsidR="003E2D04" w:rsidRPr="00F94B57" w:rsidRDefault="003E2D04" w:rsidP="00F94B57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F94B57">
        <w:rPr>
          <w:sz w:val="24"/>
          <w:vertAlign w:val="superscript"/>
          <w:lang w:val="bg-BG"/>
        </w:rPr>
        <w:t xml:space="preserve"> </w:t>
      </w:r>
      <w:r w:rsidRPr="00F94B57">
        <w:rPr>
          <w:sz w:val="24"/>
          <w:vertAlign w:val="superscript"/>
          <w:lang w:val="bg-BG"/>
        </w:rPr>
        <w:tab/>
      </w:r>
      <w:proofErr w:type="spellStart"/>
      <w:r w:rsidRPr="00F94B57">
        <w:rPr>
          <w:sz w:val="24"/>
          <w:lang w:val="bg-BG"/>
        </w:rPr>
        <w:t>Cochrane</w:t>
      </w:r>
      <w:proofErr w:type="spellEnd"/>
      <w:r w:rsidRPr="00F94B57">
        <w:rPr>
          <w:sz w:val="24"/>
          <w:lang w:val="bg-BG"/>
        </w:rPr>
        <w:t>, J.H. и др., „</w:t>
      </w:r>
      <w:proofErr w:type="spellStart"/>
      <w:r w:rsidRPr="00F94B57">
        <w:rPr>
          <w:sz w:val="24"/>
          <w:lang w:val="bg-BG"/>
        </w:rPr>
        <w:t>Crisis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Cycle</w:t>
      </w:r>
      <w:proofErr w:type="spellEnd"/>
      <w:r w:rsidRPr="00F94B57">
        <w:rPr>
          <w:sz w:val="24"/>
          <w:lang w:val="bg-BG"/>
        </w:rPr>
        <w:t xml:space="preserve">: </w:t>
      </w:r>
      <w:proofErr w:type="spellStart"/>
      <w:r w:rsidRPr="00F94B57">
        <w:rPr>
          <w:sz w:val="24"/>
          <w:lang w:val="bg-BG"/>
        </w:rPr>
        <w:t>Challenges</w:t>
      </w:r>
      <w:proofErr w:type="spellEnd"/>
      <w:r w:rsidRPr="00F94B57">
        <w:rPr>
          <w:sz w:val="24"/>
          <w:lang w:val="bg-BG"/>
        </w:rPr>
        <w:t xml:space="preserve">, </w:t>
      </w:r>
      <w:proofErr w:type="spellStart"/>
      <w:r w:rsidRPr="00F94B57">
        <w:rPr>
          <w:sz w:val="24"/>
          <w:lang w:val="bg-BG"/>
        </w:rPr>
        <w:t>Evolution</w:t>
      </w:r>
      <w:proofErr w:type="spellEnd"/>
      <w:r w:rsidRPr="00F94B57">
        <w:rPr>
          <w:sz w:val="24"/>
          <w:lang w:val="bg-BG"/>
        </w:rPr>
        <w:t xml:space="preserve">, </w:t>
      </w:r>
      <w:proofErr w:type="spellStart"/>
      <w:r w:rsidRPr="00F94B57">
        <w:rPr>
          <w:sz w:val="24"/>
          <w:lang w:val="bg-BG"/>
        </w:rPr>
        <w:t>and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Future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of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the</w:t>
      </w:r>
      <w:proofErr w:type="spellEnd"/>
      <w:r w:rsidRPr="00F94B57">
        <w:rPr>
          <w:sz w:val="24"/>
          <w:lang w:val="bg-BG"/>
        </w:rPr>
        <w:t xml:space="preserve"> Euro“ (Кризисен цикъл: предизвикателства, развитие и бъдеще на еврото), </w:t>
      </w:r>
      <w:proofErr w:type="spellStart"/>
      <w:r w:rsidRPr="00F94B57">
        <w:rPr>
          <w:sz w:val="24"/>
          <w:lang w:val="bg-BG"/>
        </w:rPr>
        <w:t>Princeton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University</w:t>
      </w:r>
      <w:proofErr w:type="spellEnd"/>
      <w:r w:rsidRPr="00F94B57">
        <w:rPr>
          <w:sz w:val="24"/>
          <w:lang w:val="bg-BG"/>
        </w:rPr>
        <w:t xml:space="preserve"> </w:t>
      </w:r>
      <w:proofErr w:type="spellStart"/>
      <w:r w:rsidRPr="00F94B57">
        <w:rPr>
          <w:sz w:val="24"/>
          <w:lang w:val="bg-BG"/>
        </w:rPr>
        <w:t>Press</w:t>
      </w:r>
      <w:proofErr w:type="spellEnd"/>
      <w:r w:rsidRPr="00F94B57">
        <w:rPr>
          <w:sz w:val="24"/>
          <w:lang w:val="bg-BG"/>
        </w:rPr>
        <w:t>, 2025 г.</w:t>
      </w:r>
    </w:p>
  </w:footnote>
  <w:footnote w:id="4">
    <w:p w14:paraId="7220C19B" w14:textId="3D80F5F1" w:rsidR="003B62FD" w:rsidRPr="00A61567" w:rsidRDefault="003B62FD" w:rsidP="00A61567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hyperlink r:id="rId1" w:history="1">
        <w:r w:rsidRPr="00A61567">
          <w:rPr>
            <w:sz w:val="24"/>
            <w:szCs w:val="24"/>
            <w:u w:val="single"/>
            <w:lang w:val="bg-BG" w:eastAsia="en-US"/>
          </w:rPr>
          <w:t>Блог на Европейската централна банка, „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When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groceries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bite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,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the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role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of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food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prices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for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inflation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in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the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euro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 xml:space="preserve"> </w:t>
        </w:r>
        <w:proofErr w:type="spellStart"/>
        <w:r w:rsidRPr="00A61567">
          <w:rPr>
            <w:sz w:val="24"/>
            <w:szCs w:val="24"/>
            <w:u w:val="single"/>
            <w:lang w:val="bg-BG" w:eastAsia="en-US"/>
          </w:rPr>
          <w:t>area</w:t>
        </w:r>
        <w:proofErr w:type="spellEnd"/>
        <w:r w:rsidRPr="00A61567">
          <w:rPr>
            <w:sz w:val="24"/>
            <w:szCs w:val="24"/>
            <w:u w:val="single"/>
            <w:lang w:val="bg-BG" w:eastAsia="en-US"/>
          </w:rPr>
          <w:t>“</w:t>
        </w:r>
      </w:hyperlink>
      <w:r w:rsidRPr="00A61567">
        <w:rPr>
          <w:sz w:val="24"/>
          <w:szCs w:val="24"/>
          <w:lang w:val="bg-BG" w:eastAsia="en-US"/>
        </w:rPr>
        <w:t xml:space="preserve"> (Когато хранителните стоки хапят – Ролята на цените на храните за инфлацията в еврозоната), 25 септември 2025 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5690749">
    <w:abstractNumId w:val="9"/>
  </w:num>
  <w:num w:numId="2" w16cid:durableId="214120225">
    <w:abstractNumId w:val="9"/>
  </w:num>
  <w:num w:numId="3" w16cid:durableId="1710186414">
    <w:abstractNumId w:val="7"/>
  </w:num>
  <w:num w:numId="4" w16cid:durableId="1073239760">
    <w:abstractNumId w:val="7"/>
  </w:num>
  <w:num w:numId="5" w16cid:durableId="2007124878">
    <w:abstractNumId w:val="6"/>
  </w:num>
  <w:num w:numId="6" w16cid:durableId="647783262">
    <w:abstractNumId w:val="6"/>
  </w:num>
  <w:num w:numId="7" w16cid:durableId="468476639">
    <w:abstractNumId w:val="5"/>
  </w:num>
  <w:num w:numId="8" w16cid:durableId="1209148481">
    <w:abstractNumId w:val="5"/>
  </w:num>
  <w:num w:numId="9" w16cid:durableId="1089885774">
    <w:abstractNumId w:val="4"/>
  </w:num>
  <w:num w:numId="10" w16cid:durableId="1662543146">
    <w:abstractNumId w:val="4"/>
  </w:num>
  <w:num w:numId="11" w16cid:durableId="834418961">
    <w:abstractNumId w:val="8"/>
  </w:num>
  <w:num w:numId="12" w16cid:durableId="1798985575">
    <w:abstractNumId w:val="8"/>
  </w:num>
  <w:num w:numId="13" w16cid:durableId="1614168684">
    <w:abstractNumId w:val="3"/>
  </w:num>
  <w:num w:numId="14" w16cid:durableId="155613321">
    <w:abstractNumId w:val="3"/>
  </w:num>
  <w:num w:numId="15" w16cid:durableId="273176115">
    <w:abstractNumId w:val="2"/>
  </w:num>
  <w:num w:numId="16" w16cid:durableId="905185308">
    <w:abstractNumId w:val="2"/>
  </w:num>
  <w:num w:numId="17" w16cid:durableId="713693414">
    <w:abstractNumId w:val="1"/>
  </w:num>
  <w:num w:numId="18" w16cid:durableId="686103482">
    <w:abstractNumId w:val="1"/>
  </w:num>
  <w:num w:numId="19" w16cid:durableId="202786941">
    <w:abstractNumId w:val="0"/>
  </w:num>
  <w:num w:numId="20" w16cid:durableId="1952973986">
    <w:abstractNumId w:val="0"/>
  </w:num>
  <w:num w:numId="21" w16cid:durableId="2116973648">
    <w:abstractNumId w:val="9"/>
  </w:num>
  <w:num w:numId="22" w16cid:durableId="1182279530">
    <w:abstractNumId w:val="7"/>
  </w:num>
  <w:num w:numId="23" w16cid:durableId="594674726">
    <w:abstractNumId w:val="6"/>
  </w:num>
  <w:num w:numId="24" w16cid:durableId="260189535">
    <w:abstractNumId w:val="5"/>
  </w:num>
  <w:num w:numId="25" w16cid:durableId="1211454068">
    <w:abstractNumId w:val="4"/>
  </w:num>
  <w:num w:numId="26" w16cid:durableId="691496064">
    <w:abstractNumId w:val="8"/>
  </w:num>
  <w:num w:numId="27" w16cid:durableId="2090032050">
    <w:abstractNumId w:val="3"/>
  </w:num>
  <w:num w:numId="28" w16cid:durableId="237640912">
    <w:abstractNumId w:val="2"/>
  </w:num>
  <w:num w:numId="29" w16cid:durableId="1691832297">
    <w:abstractNumId w:val="1"/>
  </w:num>
  <w:num w:numId="30" w16cid:durableId="1724596223">
    <w:abstractNumId w:val="0"/>
  </w:num>
  <w:num w:numId="31" w16cid:durableId="1163548948">
    <w:abstractNumId w:val="9"/>
  </w:num>
  <w:num w:numId="32" w16cid:durableId="955452623">
    <w:abstractNumId w:val="7"/>
  </w:num>
  <w:num w:numId="33" w16cid:durableId="2069300491">
    <w:abstractNumId w:val="6"/>
  </w:num>
  <w:num w:numId="34" w16cid:durableId="1510024112">
    <w:abstractNumId w:val="5"/>
  </w:num>
  <w:num w:numId="35" w16cid:durableId="1610425885">
    <w:abstractNumId w:val="4"/>
  </w:num>
  <w:num w:numId="36" w16cid:durableId="1349873714">
    <w:abstractNumId w:val="8"/>
  </w:num>
  <w:num w:numId="37" w16cid:durableId="700319819">
    <w:abstractNumId w:val="3"/>
  </w:num>
  <w:num w:numId="38" w16cid:durableId="390349094">
    <w:abstractNumId w:val="2"/>
  </w:num>
  <w:num w:numId="39" w16cid:durableId="233514975">
    <w:abstractNumId w:val="1"/>
  </w:num>
  <w:num w:numId="40" w16cid:durableId="1349091305">
    <w:abstractNumId w:val="0"/>
  </w:num>
  <w:num w:numId="41" w16cid:durableId="1821968349">
    <w:abstractNumId w:val="10"/>
  </w:num>
  <w:num w:numId="42" w16cid:durableId="1888562527">
    <w:abstractNumId w:val="10"/>
  </w:num>
  <w:num w:numId="43" w16cid:durableId="838039497">
    <w:abstractNumId w:val="10"/>
  </w:num>
  <w:num w:numId="44" w16cid:durableId="15540040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2/2026"/>
    <w:docVar w:name="dvlangue" w:val="BG"/>
    <w:docVar w:name="dvnumam" w:val="0"/>
    <w:docVar w:name="dvpe" w:val="778.306"/>
    <w:docVar w:name="dvrapporteur" w:val="Докладчик: "/>
    <w:docVar w:name="dvtitre" w:val="Резолюция на Европейския парламент от ... 2026 г. относно Европейската централна банка – годишен доклад за 2025 г.(2025/2182(INI))"/>
  </w:docVars>
  <w:rsids>
    <w:rsidRoot w:val="003F4F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F0D"/>
    <w:rsid w:val="002767FF"/>
    <w:rsid w:val="002B18FE"/>
    <w:rsid w:val="002B5493"/>
    <w:rsid w:val="003259DD"/>
    <w:rsid w:val="00343214"/>
    <w:rsid w:val="00361C00"/>
    <w:rsid w:val="00395FA1"/>
    <w:rsid w:val="003B62FD"/>
    <w:rsid w:val="003E15D4"/>
    <w:rsid w:val="003E2D04"/>
    <w:rsid w:val="003F4F2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B5F"/>
    <w:rsid w:val="00582039"/>
    <w:rsid w:val="005C2568"/>
    <w:rsid w:val="005F1B17"/>
    <w:rsid w:val="006037C0"/>
    <w:rsid w:val="00633E29"/>
    <w:rsid w:val="006631B6"/>
    <w:rsid w:val="00680577"/>
    <w:rsid w:val="006B441C"/>
    <w:rsid w:val="006F74FA"/>
    <w:rsid w:val="007073AF"/>
    <w:rsid w:val="00731ADD"/>
    <w:rsid w:val="00734777"/>
    <w:rsid w:val="00747932"/>
    <w:rsid w:val="00751A4A"/>
    <w:rsid w:val="00756632"/>
    <w:rsid w:val="00762C74"/>
    <w:rsid w:val="00765B5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2E6"/>
    <w:rsid w:val="00911836"/>
    <w:rsid w:val="00930C23"/>
    <w:rsid w:val="0093193B"/>
    <w:rsid w:val="009509D8"/>
    <w:rsid w:val="00950B64"/>
    <w:rsid w:val="00981893"/>
    <w:rsid w:val="0098521C"/>
    <w:rsid w:val="00A1687D"/>
    <w:rsid w:val="00A43E52"/>
    <w:rsid w:val="00A4678D"/>
    <w:rsid w:val="00A612A7"/>
    <w:rsid w:val="00A61567"/>
    <w:rsid w:val="00A65FAC"/>
    <w:rsid w:val="00A778C7"/>
    <w:rsid w:val="00AB441E"/>
    <w:rsid w:val="00AB6293"/>
    <w:rsid w:val="00AE0928"/>
    <w:rsid w:val="00AF3B82"/>
    <w:rsid w:val="00B12E95"/>
    <w:rsid w:val="00B22876"/>
    <w:rsid w:val="00B558F0"/>
    <w:rsid w:val="00BA5C3E"/>
    <w:rsid w:val="00BD48FE"/>
    <w:rsid w:val="00BD7BD8"/>
    <w:rsid w:val="00BE6ADC"/>
    <w:rsid w:val="00BF62A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E2E"/>
    <w:rsid w:val="00E820A4"/>
    <w:rsid w:val="00EB006A"/>
    <w:rsid w:val="00EB4772"/>
    <w:rsid w:val="00ED169E"/>
    <w:rsid w:val="00ED4235"/>
    <w:rsid w:val="00F04346"/>
    <w:rsid w:val="00F075DC"/>
    <w:rsid w:val="00F149E9"/>
    <w:rsid w:val="00F41C4E"/>
    <w:rsid w:val="00F5134D"/>
    <w:rsid w:val="00F74202"/>
    <w:rsid w:val="00F87713"/>
    <w:rsid w:val="00F94B5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C3AF8"/>
  <w15:chartTrackingRefBased/>
  <w15:docId w15:val="{A8150380-6AD1-4B94-925F-09DD43DC1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263F0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263F0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263F0D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263F0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263F0D"/>
    <w:pPr>
      <w:widowControl/>
      <w:spacing w:after="240"/>
      <w:jc w:val="center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BA5C3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cb.europa.eu/press/blog/date/2025/html/ecb.blog20250925~7fd65a388a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2279</Words>
  <Characters>13117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2026-02-10T14:15:00Z</dcterms:created>
  <dcterms:modified xsi:type="dcterms:W3CDTF">2026-02-10T14:15:00Z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P10_TA(2026)0034_</vt:lpwstr>
  </property>
  <property fmtid="{D5CDD505-2E9C-101B-9397-08002B2CF9AE}" pid="4" name="&lt;Type&gt;">
    <vt:lpwstr>RR</vt:lpwstr>
  </property>
</Properties>
</file>