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1204" w14:paraId="704560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D05511" w14:textId="77777777" w:rsidR="00751A4A" w:rsidRPr="00E41204" w:rsidRDefault="002119FB" w:rsidP="0010095E">
            <w:pPr>
              <w:pStyle w:val="EPName"/>
            </w:pPr>
            <w:r w:rsidRPr="00E41204">
              <w:t>Evropský parlament</w:t>
            </w:r>
          </w:p>
          <w:p w14:paraId="6B5C6D4D" w14:textId="77777777" w:rsidR="00751A4A" w:rsidRPr="00E412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1204">
              <w:t>2024</w:t>
            </w:r>
            <w:r w:rsidR="00817416" w:rsidRPr="00E41204">
              <w:t>-202</w:t>
            </w:r>
            <w:r w:rsidRPr="00E41204">
              <w:t>9</w:t>
            </w:r>
          </w:p>
        </w:tc>
        <w:tc>
          <w:tcPr>
            <w:tcW w:w="2268" w:type="dxa"/>
            <w:shd w:val="clear" w:color="auto" w:fill="auto"/>
          </w:tcPr>
          <w:p w14:paraId="53DA1430" w14:textId="77777777" w:rsidR="00751A4A" w:rsidRPr="00E41204" w:rsidRDefault="00187494" w:rsidP="0010095E">
            <w:pPr>
              <w:pStyle w:val="EPLogo"/>
            </w:pPr>
            <w:r w:rsidRPr="00E41204">
              <w:rPr>
                <w:noProof/>
                <w:lang w:eastAsia="ja-JP"/>
              </w:rPr>
              <w:drawing>
                <wp:inline distT="0" distB="0" distL="0" distR="0" wp14:anchorId="18309985" wp14:editId="1B7E45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A589F2" w14:textId="77777777" w:rsidR="00D058B8" w:rsidRPr="00E41204" w:rsidRDefault="00D058B8" w:rsidP="004C5D52">
      <w:pPr>
        <w:pStyle w:val="LineTop"/>
      </w:pPr>
    </w:p>
    <w:p w14:paraId="59A9D4F7" w14:textId="77777777" w:rsidR="00680577" w:rsidRPr="00E41204" w:rsidRDefault="002119FB" w:rsidP="00680577">
      <w:pPr>
        <w:pStyle w:val="EPBodyTA1"/>
      </w:pPr>
      <w:r w:rsidRPr="00E41204">
        <w:t>PŘIJATÉ TEXTY</w:t>
      </w:r>
    </w:p>
    <w:p w14:paraId="635BEF94" w14:textId="77777777" w:rsidR="00D058B8" w:rsidRPr="00E41204" w:rsidRDefault="00D058B8" w:rsidP="00D058B8">
      <w:pPr>
        <w:pStyle w:val="LineBottom"/>
      </w:pPr>
    </w:p>
    <w:p w14:paraId="5902F787" w14:textId="1FABF961" w:rsidR="002119FB" w:rsidRPr="00E41204" w:rsidRDefault="002119FB" w:rsidP="002119FB">
      <w:pPr>
        <w:pStyle w:val="ATHeading1"/>
      </w:pPr>
      <w:bookmarkStart w:id="0" w:name="TANumber"/>
      <w:r w:rsidRPr="00E41204">
        <w:t>P10_</w:t>
      </w:r>
      <w:proofErr w:type="gramStart"/>
      <w:r w:rsidRPr="00E41204">
        <w:t>TA(</w:t>
      </w:r>
      <w:proofErr w:type="gramEnd"/>
      <w:r w:rsidRPr="00E41204">
        <w:t>2026)00</w:t>
      </w:r>
      <w:r w:rsidR="009E35A1">
        <w:t>34</w:t>
      </w:r>
      <w:bookmarkEnd w:id="0"/>
    </w:p>
    <w:p w14:paraId="61DECC0F" w14:textId="77777777" w:rsidR="002119FB" w:rsidRPr="00E41204" w:rsidRDefault="002119FB" w:rsidP="002119FB">
      <w:pPr>
        <w:pStyle w:val="ATHeading2"/>
      </w:pPr>
      <w:bookmarkStart w:id="1" w:name="title"/>
      <w:r w:rsidRPr="00A72CF8">
        <w:t>Evropská centrální banka – výroční zpráva za rok 2025</w:t>
      </w:r>
      <w:bookmarkEnd w:id="1"/>
    </w:p>
    <w:p w14:paraId="3B47495F" w14:textId="77777777" w:rsidR="002119FB" w:rsidRPr="00E41204" w:rsidRDefault="002119FB" w:rsidP="002119FB">
      <w:pPr>
        <w:rPr>
          <w:i/>
          <w:vanish/>
        </w:rPr>
      </w:pPr>
      <w:r w:rsidRPr="00E41204">
        <w:rPr>
          <w:i/>
        </w:rPr>
        <w:fldChar w:fldCharType="begin"/>
      </w:r>
      <w:r w:rsidRPr="00E41204">
        <w:rPr>
          <w:i/>
        </w:rPr>
        <w:instrText xml:space="preserve"> TC"(</w:instrText>
      </w:r>
      <w:bookmarkStart w:id="2" w:name="DocNumber"/>
      <w:r w:rsidRPr="00E41204">
        <w:rPr>
          <w:i/>
        </w:rPr>
        <w:instrText>A10-0002/2026</w:instrText>
      </w:r>
      <w:bookmarkEnd w:id="2"/>
      <w:r w:rsidRPr="00E41204">
        <w:rPr>
          <w:i/>
        </w:rPr>
        <w:instrText xml:space="preserve"> - Zpravodaj: Johan Van </w:instrText>
      </w:r>
      <w:proofErr w:type="spellStart"/>
      <w:r w:rsidRPr="00E41204">
        <w:rPr>
          <w:i/>
        </w:rPr>
        <w:instrText>Overtveldt</w:instrText>
      </w:r>
      <w:proofErr w:type="spellEnd"/>
      <w:r w:rsidRPr="00E41204">
        <w:rPr>
          <w:i/>
        </w:rPr>
        <w:instrText xml:space="preserve">)"\l3 \n&gt; \* MERGEFORMAT </w:instrText>
      </w:r>
      <w:r w:rsidRPr="00E41204">
        <w:rPr>
          <w:i/>
        </w:rPr>
        <w:fldChar w:fldCharType="end"/>
      </w:r>
    </w:p>
    <w:p w14:paraId="38D686E5" w14:textId="77777777" w:rsidR="002119FB" w:rsidRPr="00E41204" w:rsidRDefault="002119FB" w:rsidP="002119FB">
      <w:pPr>
        <w:rPr>
          <w:vanish/>
        </w:rPr>
      </w:pPr>
      <w:bookmarkStart w:id="3" w:name="Commission"/>
      <w:r w:rsidRPr="00E41204">
        <w:rPr>
          <w:vanish/>
        </w:rPr>
        <w:t>Hospodářský a měnový výbor</w:t>
      </w:r>
      <w:bookmarkEnd w:id="3"/>
    </w:p>
    <w:p w14:paraId="1901E0AD" w14:textId="77777777" w:rsidR="002119FB" w:rsidRPr="00E41204" w:rsidRDefault="002119FB" w:rsidP="002119FB">
      <w:pPr>
        <w:rPr>
          <w:vanish/>
        </w:rPr>
      </w:pPr>
      <w:bookmarkStart w:id="4" w:name="PE"/>
      <w:r w:rsidRPr="00E41204">
        <w:rPr>
          <w:vanish/>
        </w:rPr>
        <w:t>PE778.306</w:t>
      </w:r>
      <w:bookmarkEnd w:id="4"/>
    </w:p>
    <w:p w14:paraId="78150C62" w14:textId="77777777" w:rsidR="002119FB" w:rsidRPr="00E41204" w:rsidRDefault="002119FB" w:rsidP="002119FB">
      <w:pPr>
        <w:pStyle w:val="ATHeading3"/>
      </w:pPr>
      <w:bookmarkStart w:id="5" w:name="Sujet"/>
      <w:r w:rsidRPr="00E41204">
        <w:t>Usnesení Evropského parlamentu ze dne 10. února 2026 o Evropské centrální bance – výroční zpráva za rok 2025</w:t>
      </w:r>
      <w:bookmarkEnd w:id="5"/>
      <w:r w:rsidRPr="00E41204">
        <w:t xml:space="preserve"> </w:t>
      </w:r>
      <w:bookmarkStart w:id="6" w:name="References"/>
      <w:r w:rsidRPr="00E41204">
        <w:t>(2025/2182(INI))</w:t>
      </w:r>
      <w:bookmarkEnd w:id="6"/>
    </w:p>
    <w:p w14:paraId="749320C3" w14:textId="77777777" w:rsidR="002652AF" w:rsidRPr="00E41204" w:rsidRDefault="002652AF" w:rsidP="00885F08">
      <w:pPr>
        <w:pStyle w:val="Normal12"/>
        <w:spacing w:before="480"/>
      </w:pPr>
      <w:r w:rsidRPr="00E41204">
        <w:rPr>
          <w:i/>
        </w:rPr>
        <w:t>Evropský parlament</w:t>
      </w:r>
      <w:r w:rsidRPr="00E41204">
        <w:t>,</w:t>
      </w:r>
    </w:p>
    <w:p w14:paraId="4B5CD080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 ohledem na reakci Evropské centrální banky (ECB) ze dne 28. dubna 2025 na podněty, které Parlament vyjádřil ve svém usnesení o výroční zprávě ECB za rok 2023,</w:t>
      </w:r>
    </w:p>
    <w:p w14:paraId="42B79B7C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statut Evropského systému centrálních bank (ESCB) a ECB, zejména na články 2, 15 a 21 tohoto statutu,</w:t>
      </w:r>
    </w:p>
    <w:p w14:paraId="18D4CDD9" w14:textId="7C544481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 ohledem na článek 119, čl. 123 odst. 1, článek 125, čl. 127 odst. 1 a 2, článek 130, čl. 282 odst. 2 a čl. 284 odst. 3 Smlouvy o fungování Evropské unie (</w:t>
      </w:r>
      <w:r w:rsidR="00E719EF">
        <w:t>dále jen „</w:t>
      </w:r>
      <w:r w:rsidRPr="00E41204">
        <w:t>Smlouv</w:t>
      </w:r>
      <w:r w:rsidR="00E719EF">
        <w:t>a</w:t>
      </w:r>
      <w:r w:rsidRPr="00E41204">
        <w:t xml:space="preserve"> o fungování EU</w:t>
      </w:r>
      <w:r w:rsidR="00E719EF">
        <w:t>“</w:t>
      </w:r>
      <w:r w:rsidRPr="00E41204">
        <w:t>),</w:t>
      </w:r>
    </w:p>
    <w:p w14:paraId="36E9C397" w14:textId="47D4FA61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články 3 a 13 Smlouvy o Evropské unii (</w:t>
      </w:r>
      <w:r w:rsidR="00E719EF">
        <w:t>dále jen „</w:t>
      </w:r>
      <w:r w:rsidRPr="00E41204">
        <w:t>Smlouv</w:t>
      </w:r>
      <w:r w:rsidR="00E719EF">
        <w:t>a</w:t>
      </w:r>
      <w:r w:rsidRPr="00E41204">
        <w:t xml:space="preserve"> o EU</w:t>
      </w:r>
      <w:r w:rsidR="00E719EF">
        <w:t>“</w:t>
      </w:r>
      <w:r w:rsidRPr="00E41204">
        <w:t>),</w:t>
      </w:r>
    </w:p>
    <w:p w14:paraId="410155D1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 xml:space="preserve">s ohledem na měnové dialogy s prezidentkou ECB Christine </w:t>
      </w:r>
      <w:proofErr w:type="spellStart"/>
      <w:r w:rsidRPr="00E41204">
        <w:t>Lagardeovou</w:t>
      </w:r>
      <w:proofErr w:type="spellEnd"/>
      <w:r w:rsidRPr="00E41204">
        <w:t>, které proběhly dne 20. března 2025, 23. června 2025 a 6. října 2025,</w:t>
      </w:r>
    </w:p>
    <w:p w14:paraId="6B460438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hodnocení strategie měnové politiky ECB z roku 2025,</w:t>
      </w:r>
    </w:p>
    <w:p w14:paraId="781CDB9D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zprávu ECB o mezinárodní úloze eura z roku 2025,</w:t>
      </w:r>
    </w:p>
    <w:p w14:paraId="06221F3C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plán ECB pro klima a přírodu na období 2024–2025,</w:t>
      </w:r>
    </w:p>
    <w:p w14:paraId="6614E463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 xml:space="preserve">s ohledem na odhad inflace, který </w:t>
      </w:r>
      <w:proofErr w:type="spellStart"/>
      <w:r w:rsidRPr="00E41204">
        <w:t>Eurostat</w:t>
      </w:r>
      <w:proofErr w:type="spellEnd"/>
      <w:r w:rsidRPr="00E41204">
        <w:t xml:space="preserve"> zveřejnil dne 20. srpna 2025, a na bleskové odhady </w:t>
      </w:r>
      <w:proofErr w:type="spellStart"/>
      <w:r w:rsidRPr="00E41204">
        <w:t>Eurostatu</w:t>
      </w:r>
      <w:proofErr w:type="spellEnd"/>
      <w:r w:rsidRPr="00E41204">
        <w:t xml:space="preserve"> ze dne 1. října 2025,</w:t>
      </w:r>
    </w:p>
    <w:p w14:paraId="4A8A8E85" w14:textId="50963C45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 ohledem na informační dokument „</w:t>
      </w:r>
      <w:proofErr w:type="spellStart"/>
      <w:r w:rsidRPr="00E41204">
        <w:t>Turning</w:t>
      </w:r>
      <w:proofErr w:type="spellEnd"/>
      <w:r w:rsidRPr="00E41204">
        <w:t xml:space="preserve"> point </w:t>
      </w:r>
      <w:proofErr w:type="spellStart"/>
      <w:r w:rsidRPr="00E41204">
        <w:t>or</w:t>
      </w:r>
      <w:proofErr w:type="spellEnd"/>
      <w:r w:rsidRPr="00E41204">
        <w:t xml:space="preserve"> </w:t>
      </w:r>
      <w:proofErr w:type="spellStart"/>
      <w:r w:rsidRPr="00E41204">
        <w:t>continuity</w:t>
      </w:r>
      <w:proofErr w:type="spellEnd"/>
      <w:r w:rsidRPr="00E41204">
        <w:t xml:space="preserve">? </w:t>
      </w:r>
      <w:proofErr w:type="spellStart"/>
      <w:r w:rsidRPr="00E41204">
        <w:t>The</w:t>
      </w:r>
      <w:proofErr w:type="spellEnd"/>
      <w:r w:rsidRPr="00E41204">
        <w:t xml:space="preserve"> </w:t>
      </w:r>
      <w:proofErr w:type="spellStart"/>
      <w:r w:rsidRPr="00E41204">
        <w:t>ECB’s</w:t>
      </w:r>
      <w:proofErr w:type="spellEnd"/>
      <w:r w:rsidRPr="00E41204">
        <w:t xml:space="preserve"> 2025 </w:t>
      </w:r>
      <w:proofErr w:type="spellStart"/>
      <w:r w:rsidRPr="00E41204">
        <w:t>strategy</w:t>
      </w:r>
      <w:proofErr w:type="spellEnd"/>
      <w:r w:rsidRPr="00E41204">
        <w:t xml:space="preserve"> </w:t>
      </w:r>
      <w:proofErr w:type="spellStart"/>
      <w:r w:rsidRPr="00E41204">
        <w:t>review</w:t>
      </w:r>
      <w:proofErr w:type="spellEnd"/>
      <w:r w:rsidRPr="00E41204">
        <w:t xml:space="preserve">“ (Zlomový okamžik, nebo kontinuita? Přezkum strategie ECB v roce 2025), který v říjnu 2025 vypracovalo oddělení pro kontrolu správy hospodářských </w:t>
      </w:r>
      <w:r w:rsidRPr="00E41204">
        <w:lastRenderedPageBreak/>
        <w:t>záležitostí a HMU (EGOV) a zveřejnilo generální ředitelství pro hospodářství, transformaci a průmysl</w:t>
      </w:r>
      <w:r w:rsidR="008A65B0">
        <w:rPr>
          <w:rStyle w:val="FootnoteReference"/>
        </w:rPr>
        <w:footnoteReference w:id="1"/>
      </w:r>
      <w:r w:rsidRPr="00E41204">
        <w:t>,</w:t>
      </w:r>
    </w:p>
    <w:p w14:paraId="408A5504" w14:textId="2E930586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 ohledem na hloubkovou analýzu „</w:t>
      </w:r>
      <w:proofErr w:type="spellStart"/>
      <w:r w:rsidRPr="00E41204">
        <w:t>The</w:t>
      </w:r>
      <w:proofErr w:type="spellEnd"/>
      <w:r w:rsidRPr="00E41204">
        <w:t xml:space="preserve"> </w:t>
      </w:r>
      <w:proofErr w:type="spellStart"/>
      <w:r w:rsidRPr="00E41204">
        <w:t>silent</w:t>
      </w:r>
      <w:proofErr w:type="spellEnd"/>
      <w:r w:rsidRPr="00E41204">
        <w:t xml:space="preserve"> hand </w:t>
      </w:r>
      <w:proofErr w:type="spellStart"/>
      <w:r w:rsidRPr="00E41204">
        <w:t>of</w:t>
      </w:r>
      <w:proofErr w:type="spellEnd"/>
      <w:r w:rsidRPr="00E41204">
        <w:t xml:space="preserve"> </w:t>
      </w:r>
      <w:proofErr w:type="spellStart"/>
      <w:r w:rsidRPr="00E41204">
        <w:t>central</w:t>
      </w:r>
      <w:proofErr w:type="spellEnd"/>
      <w:r w:rsidRPr="00E41204">
        <w:t xml:space="preserve"> banking: </w:t>
      </w:r>
      <w:proofErr w:type="spellStart"/>
      <w:r w:rsidRPr="00E41204">
        <w:t>collateral</w:t>
      </w:r>
      <w:proofErr w:type="spellEnd"/>
      <w:r w:rsidRPr="00E41204">
        <w:t xml:space="preserve"> framework“ (Tichá ruka centrálního bankovnictví: rámec zajištění), kterou v červnu 2025 vypracovalo oddělení EGOV a zveřejnilo generální ředitelství pro hospodářství, transformaci a průmysl</w:t>
      </w:r>
      <w:r w:rsidR="008A65B0">
        <w:rPr>
          <w:rStyle w:val="FootnoteReference"/>
        </w:rPr>
        <w:footnoteReference w:id="2"/>
      </w:r>
      <w:r w:rsidRPr="00E41204">
        <w:t>,</w:t>
      </w:r>
    </w:p>
    <w:p w14:paraId="15EC45FC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článek 55 jednacího řádu,</w:t>
      </w:r>
    </w:p>
    <w:p w14:paraId="24458B9F" w14:textId="77777777" w:rsidR="002652AF" w:rsidRPr="00E41204" w:rsidRDefault="002652AF" w:rsidP="009B0998">
      <w:pPr>
        <w:pStyle w:val="NormalHanging"/>
      </w:pPr>
      <w:r w:rsidRPr="00E41204">
        <w:t>–</w:t>
      </w:r>
      <w:r w:rsidRPr="00E41204">
        <w:tab/>
        <w:t>s ohledem na zprávu Hospodářského a měnového výboru (A10-0002/2026),</w:t>
      </w:r>
    </w:p>
    <w:p w14:paraId="1B0A19A5" w14:textId="77777777" w:rsidR="002652AF" w:rsidRPr="00E41204" w:rsidRDefault="002652AF" w:rsidP="009B0998">
      <w:pPr>
        <w:pStyle w:val="NormalHanging"/>
      </w:pPr>
      <w:r w:rsidRPr="00E41204">
        <w:t>A.</w:t>
      </w:r>
      <w:r w:rsidRPr="00E41204">
        <w:tab/>
        <w:t xml:space="preserve">vzhledem k tomu, že podle </w:t>
      </w:r>
      <w:proofErr w:type="spellStart"/>
      <w:r w:rsidRPr="00E41204">
        <w:t>Eurostatu</w:t>
      </w:r>
      <w:proofErr w:type="spellEnd"/>
      <w:r w:rsidRPr="00E41204">
        <w:t xml:space="preserve"> dosahovala v říjnu </w:t>
      </w:r>
      <w:proofErr w:type="gramStart"/>
      <w:r w:rsidRPr="00E41204">
        <w:t>2025 roční</w:t>
      </w:r>
      <w:proofErr w:type="gramEnd"/>
      <w:r w:rsidRPr="00E41204">
        <w:t xml:space="preserve"> inflace v EU 2,5 % a inflace v eurozóně 2,1 %, měřeno harmonizovaným indexem spotřebitelských cen;</w:t>
      </w:r>
    </w:p>
    <w:p w14:paraId="6D86A256" w14:textId="77777777" w:rsidR="002652AF" w:rsidRPr="00E41204" w:rsidRDefault="002652AF" w:rsidP="009B0998">
      <w:pPr>
        <w:pStyle w:val="NormalHanging"/>
      </w:pPr>
      <w:r w:rsidRPr="00E41204">
        <w:t>B.</w:t>
      </w:r>
      <w:r w:rsidRPr="00E41204">
        <w:tab/>
        <w:t>vzhledem k tomu, že podle průzkumu spotřebitelských očekávání ECB z října 2025 je medián očekávané inflace stále vyšší než 2 %;</w:t>
      </w:r>
    </w:p>
    <w:p w14:paraId="610E9D73" w14:textId="77777777" w:rsidR="002652AF" w:rsidRPr="00E41204" w:rsidRDefault="002652AF" w:rsidP="009B0998">
      <w:pPr>
        <w:pStyle w:val="NormalHanging"/>
      </w:pPr>
      <w:r w:rsidRPr="00E41204">
        <w:t>C.</w:t>
      </w:r>
      <w:r w:rsidRPr="00E41204">
        <w:tab/>
        <w:t>vzhledem k tomu, že inflační cíl ECB se postupem času změnil z referenční hodnoty „pod 2 %“ přes cíl „na úrovni dostatečně blízké 2 %, ale pod touto hodnotou“ na symetrický cíl „2 %“ ve střednědobém horizontu;</w:t>
      </w:r>
    </w:p>
    <w:p w14:paraId="08BB2750" w14:textId="77777777" w:rsidR="002652AF" w:rsidRPr="00E41204" w:rsidRDefault="002652AF" w:rsidP="009B0998">
      <w:pPr>
        <w:pStyle w:val="NormalHanging"/>
      </w:pPr>
      <w:r w:rsidRPr="00E41204">
        <w:t>D.</w:t>
      </w:r>
      <w:r w:rsidRPr="00E41204">
        <w:tab/>
        <w:t>vzhledem k tomu, že mezní zápůjční facilita a sazba vkladové facility vytvořily úzký koridor kolem úrokové sazby z hlavních refinančních operací;</w:t>
      </w:r>
    </w:p>
    <w:p w14:paraId="0EDFD612" w14:textId="5947B314" w:rsidR="002652AF" w:rsidRPr="00E41204" w:rsidRDefault="002652AF" w:rsidP="009B0998">
      <w:pPr>
        <w:pStyle w:val="NormalHanging"/>
      </w:pPr>
      <w:r w:rsidRPr="00E41204">
        <w:t>E.</w:t>
      </w:r>
      <w:r w:rsidRPr="00E41204">
        <w:tab/>
        <w:t>vzhledem k tomu, že hranice ECB při nákupu veřejného dluhu se stále rozšiřují, od programu pro trhy s cennými papíry po přímé měnové transakce, program nákupu aktiv veřejného sektoru, nouzový pandemický program nákupu aktiv a nástroj na ochranu transmise</w:t>
      </w:r>
      <w:r w:rsidR="008A65B0">
        <w:rPr>
          <w:rStyle w:val="FootnoteReference"/>
        </w:rPr>
        <w:footnoteReference w:id="3"/>
      </w:r>
      <w:r w:rsidRPr="00E41204">
        <w:t>;</w:t>
      </w:r>
    </w:p>
    <w:p w14:paraId="3C24383F" w14:textId="77777777" w:rsidR="002652AF" w:rsidRPr="00E41204" w:rsidRDefault="002652AF" w:rsidP="009B0998">
      <w:pPr>
        <w:pStyle w:val="NormalHanging"/>
      </w:pPr>
      <w:r w:rsidRPr="00E41204">
        <w:t>F.</w:t>
      </w:r>
      <w:r w:rsidRPr="00E41204">
        <w:tab/>
        <w:t>vzhledem k tomu, že reinvestice v rámci programu nákupu aktiv byly ukončeny v červenci 2023 a v případě nouzového pandemického programu nákupu aktiv v prosinci 2024, čímž se otevřela cesta ke zmenšení rozvahy ECB;</w:t>
      </w:r>
    </w:p>
    <w:p w14:paraId="548E9C35" w14:textId="77777777" w:rsidR="002652AF" w:rsidRPr="00E41204" w:rsidRDefault="002652AF" w:rsidP="009B0998">
      <w:pPr>
        <w:pStyle w:val="NormalHanging"/>
      </w:pPr>
      <w:r w:rsidRPr="00E41204">
        <w:t>G.</w:t>
      </w:r>
      <w:r w:rsidRPr="00E41204">
        <w:tab/>
        <w:t>vzhledem k tomu, že deflace může být neškodným důsledkem technologického pokroku;</w:t>
      </w:r>
    </w:p>
    <w:p w14:paraId="7E0B767D" w14:textId="77777777" w:rsidR="002652AF" w:rsidRPr="00E41204" w:rsidRDefault="002652AF" w:rsidP="009B0998">
      <w:pPr>
        <w:pStyle w:val="NormalHanging"/>
      </w:pPr>
      <w:r w:rsidRPr="00E41204">
        <w:t>H.</w:t>
      </w:r>
      <w:r w:rsidRPr="00E41204">
        <w:tab/>
        <w:t>vzhledem k tomu, že článek 123 Smlouvy o fungování EU a článek 21 statutu ESCB a ECB zakazují přímé měnové financování vlád;</w:t>
      </w:r>
    </w:p>
    <w:p w14:paraId="18CDA66E" w14:textId="77777777" w:rsidR="002652AF" w:rsidRPr="00E41204" w:rsidRDefault="002652AF" w:rsidP="00885F08">
      <w:pPr>
        <w:pStyle w:val="Normal12a"/>
        <w:ind w:left="566" w:hanging="566"/>
      </w:pPr>
      <w:r w:rsidRPr="00E41204">
        <w:rPr>
          <w:b/>
          <w:i/>
        </w:rPr>
        <w:t>Správa a řízení</w:t>
      </w:r>
    </w:p>
    <w:p w14:paraId="247677BE" w14:textId="77777777" w:rsidR="002652AF" w:rsidRPr="00E41204" w:rsidRDefault="002652AF" w:rsidP="009B0998">
      <w:pPr>
        <w:pStyle w:val="NormalHanging12a"/>
      </w:pPr>
      <w:r w:rsidRPr="00E41204">
        <w:t>1.</w:t>
      </w:r>
      <w:r w:rsidRPr="00E41204">
        <w:tab/>
        <w:t xml:space="preserve">připomíná, že článek 127 Smlouvy o fungování EU stanoví, že „prvořadým cílem Evropského systému centrálních bank (dále jen „ESCB“) je udržovat cenovou stabilitu. Aniž je dotčen cíl cenové stability, podporuje ESCB obecné hospodářské politiky v Unii </w:t>
      </w:r>
      <w:r w:rsidRPr="00E41204">
        <w:lastRenderedPageBreak/>
        <w:t>se záměrem přispět k dosažení cílů Unie, jak jsou vymezeny v článku 3 Smlouvy o Evropské unii. ESCB jedná ve shodě se zásadami stanovenými v článku 119 a v souladu se zásadou otevřeného tržního hospodářství s volnou soutěží, čímž podporuje efektivní umisťování zdrojů“;</w:t>
      </w:r>
    </w:p>
    <w:p w14:paraId="6FDC8D2F" w14:textId="77777777" w:rsidR="002652AF" w:rsidRPr="00E41204" w:rsidRDefault="002652AF" w:rsidP="009B0998">
      <w:pPr>
        <w:pStyle w:val="NormalHanging12a"/>
      </w:pPr>
      <w:r w:rsidRPr="00E41204">
        <w:t>2.</w:t>
      </w:r>
      <w:r w:rsidRPr="00E41204">
        <w:tab/>
        <w:t>zdůrazňuje, že předpokladem pro plnění mandátu ECB, tj. udržování cenové stability, je její statutární nezávislost zakotvená ve Smlouvách;</w:t>
      </w:r>
    </w:p>
    <w:p w14:paraId="7B214A1E" w14:textId="77777777" w:rsidR="002652AF" w:rsidRPr="00E41204" w:rsidRDefault="002652AF" w:rsidP="009B0998">
      <w:pPr>
        <w:pStyle w:val="NormalHanging12a"/>
      </w:pPr>
      <w:r w:rsidRPr="00E41204">
        <w:t>3.</w:t>
      </w:r>
      <w:r w:rsidRPr="00E41204">
        <w:tab/>
        <w:t>zdůrazňuje, že ECB je odpovědná Parlamentu; upozorňuje na to, že ECB musí při plnění svého mandátu přijímat rozhodnutí bez politického vměšování; konstatuje, že centrální banky by měly být nezávislé, nikoli však izolované;</w:t>
      </w:r>
    </w:p>
    <w:p w14:paraId="47255F74" w14:textId="77777777" w:rsidR="002652AF" w:rsidRPr="00E41204" w:rsidRDefault="002652AF" w:rsidP="009B0998">
      <w:pPr>
        <w:pStyle w:val="NormalHanging12a"/>
      </w:pPr>
      <w:r w:rsidRPr="00E41204">
        <w:t>4.</w:t>
      </w:r>
      <w:r w:rsidRPr="00E41204">
        <w:tab/>
        <w:t>poukazuje na to, že pro odpovědnost je důležitá transparentnost a že je nezbytné silné institucionální uspořádání a mechanismy odpovědnosti; v tomto ohledu vítá ujednání ve formě výměny dopisů mezi Evropským parlamentem a ECB o struktuře spolupráce v oblasti centrálního bankovnictví;</w:t>
      </w:r>
    </w:p>
    <w:p w14:paraId="7FCBB709" w14:textId="77777777" w:rsidR="002652AF" w:rsidRPr="00E41204" w:rsidRDefault="002652AF" w:rsidP="009B0998">
      <w:pPr>
        <w:pStyle w:val="NormalHanging12a"/>
      </w:pPr>
      <w:r w:rsidRPr="00E41204">
        <w:t>5.</w:t>
      </w:r>
      <w:r w:rsidRPr="00E41204">
        <w:tab/>
        <w:t>vyzývá ECB, aby se snažila posílit nástroje, které zlepšují transparentnost, jako jsou referenční hodnoty, náhledy jejích předpokladů založených na modelech a hodnocení vývoje inflace Radou guvernérů;</w:t>
      </w:r>
    </w:p>
    <w:p w14:paraId="4539C290" w14:textId="2EADF875" w:rsidR="002652AF" w:rsidRPr="00D67712" w:rsidRDefault="002652AF" w:rsidP="009B0998">
      <w:pPr>
        <w:pStyle w:val="NormalHanging12a"/>
      </w:pPr>
      <w:r w:rsidRPr="00E41204">
        <w:t>6.</w:t>
      </w:r>
      <w:r w:rsidRPr="00E41204">
        <w:tab/>
        <w:t>oceňuje nezávislost ECB, jak je zakotvena v článku 130 S</w:t>
      </w:r>
      <w:r w:rsidR="00BA34BE">
        <w:t xml:space="preserve">mlouvy o fungování </w:t>
      </w:r>
      <w:r w:rsidRPr="00E41204">
        <w:t xml:space="preserve">EU; </w:t>
      </w:r>
      <w:r w:rsidRPr="00D67712">
        <w:t>zdůrazňuje, že má-li být ECB nezávislá, musí i nadále působit apoliticky;</w:t>
      </w:r>
    </w:p>
    <w:p w14:paraId="24A0A5CE" w14:textId="455866CD" w:rsidR="00D67712" w:rsidRPr="00D67712" w:rsidRDefault="009E35A1" w:rsidP="009B0998">
      <w:pPr>
        <w:pStyle w:val="NormalHanging12a"/>
      </w:pPr>
      <w:r>
        <w:t>7</w:t>
      </w:r>
      <w:r w:rsidR="00D67712" w:rsidRPr="00885F08">
        <w:t>.</w:t>
      </w:r>
      <w:r w:rsidR="00D67712" w:rsidRPr="00D67712">
        <w:tab/>
      </w:r>
      <w:r w:rsidR="00D67712" w:rsidRPr="00885F08">
        <w:t>souhlasí s prohlášením ECB a centrálních bank po celém světě o solidaritě v souvislosti s Federálním rezervním systémem USA, v němž se zdůrazňuje význam zachování nezávislosti centrální banky při plném dodržování zásad právního státu a demokratické odpovědnosti;</w:t>
      </w:r>
    </w:p>
    <w:p w14:paraId="53E9F689" w14:textId="77777777" w:rsidR="002652AF" w:rsidRPr="00E41204" w:rsidRDefault="002652AF" w:rsidP="00885F08">
      <w:pPr>
        <w:pStyle w:val="Normal12a"/>
        <w:ind w:left="566" w:hanging="566"/>
      </w:pPr>
      <w:r w:rsidRPr="00E41204">
        <w:rPr>
          <w:b/>
          <w:i/>
        </w:rPr>
        <w:t>Měnová politika</w:t>
      </w:r>
    </w:p>
    <w:p w14:paraId="51A3D902" w14:textId="63217373" w:rsidR="002652AF" w:rsidRPr="00E41204" w:rsidRDefault="009E35A1" w:rsidP="009B0998">
      <w:pPr>
        <w:pStyle w:val="NormalHanging12a"/>
      </w:pPr>
      <w:r>
        <w:t>8</w:t>
      </w:r>
      <w:r w:rsidR="002652AF" w:rsidRPr="00E41204">
        <w:t>.</w:t>
      </w:r>
      <w:r w:rsidR="002652AF" w:rsidRPr="00E41204">
        <w:tab/>
        <w:t>zdůrazňuje, že prvořadým cílem ECB je udržování cenové stability, která je jednou z nezbytných podmínek růstu, konkurenceschopnosti a ekonomické stability v Unii;</w:t>
      </w:r>
    </w:p>
    <w:p w14:paraId="15C90981" w14:textId="1556DF8B" w:rsidR="002652AF" w:rsidRPr="00E41204" w:rsidRDefault="009E35A1" w:rsidP="009B0998">
      <w:pPr>
        <w:pStyle w:val="NormalHanging12a"/>
      </w:pPr>
      <w:r>
        <w:t>9</w:t>
      </w:r>
      <w:r w:rsidR="002652AF" w:rsidRPr="00E41204">
        <w:t>.</w:t>
      </w:r>
      <w:r w:rsidR="002652AF" w:rsidRPr="00E41204">
        <w:tab/>
        <w:t>vyjadřuje znepokojení nad vysokou mírou inflace v letech po pandemii COVID-19, která byla vyvolána otřesy na straně nabídky; konstatuje, že ECB mohla svými rozhodnutími v tomto období zaručit rychlý návrat cenové stability; vyzývá ECB, aby ve výroční zprávě důkladně posoudila příčiny této vysoké míry inflace a vypracovala soubor politických doporučení, aby bylo možné z budoucích inflačních krizí vyvodit správné závěry;</w:t>
      </w:r>
    </w:p>
    <w:p w14:paraId="5C7E634B" w14:textId="40CA8607" w:rsidR="002652AF" w:rsidRDefault="009E35A1" w:rsidP="009B0998">
      <w:pPr>
        <w:pStyle w:val="NormalHanging12a"/>
      </w:pPr>
      <w:r>
        <w:t>10</w:t>
      </w:r>
      <w:r w:rsidR="002652AF" w:rsidRPr="00E41204">
        <w:t>.</w:t>
      </w:r>
      <w:r w:rsidR="002652AF" w:rsidRPr="00E41204">
        <w:tab/>
        <w:t>s potěšením bere na vědomí pokles inflace oproti období 2022–2023 a nedávnou stabilizaci inflace; konstatuje, že ECB v období od června 2024 do června 2025 snížila sazbu vkladů o 200 bazických bodů; je si vědom toho, že přetrvává riziko opětovného nárůstu inflace; zdůrazňuje, že další kroky k uvolnění měnové politiky by měly být opatrné a založené na datech a měly by mít na zřeteli cenovou stabilitu;</w:t>
      </w:r>
    </w:p>
    <w:p w14:paraId="69EBEDA6" w14:textId="1561696D" w:rsidR="00601CA6" w:rsidRPr="00601CA6" w:rsidRDefault="009E35A1" w:rsidP="009B0998">
      <w:pPr>
        <w:pStyle w:val="NormalHanging12a"/>
        <w:rPr>
          <w:bCs/>
          <w:iCs/>
        </w:rPr>
      </w:pPr>
      <w:r>
        <w:rPr>
          <w:bCs/>
          <w:iCs/>
        </w:rPr>
        <w:t>11</w:t>
      </w:r>
      <w:r w:rsidR="00601CA6" w:rsidRPr="00885F08">
        <w:rPr>
          <w:bCs/>
          <w:iCs/>
        </w:rPr>
        <w:t>.</w:t>
      </w:r>
      <w:r w:rsidR="00601CA6" w:rsidRPr="00601CA6">
        <w:rPr>
          <w:bCs/>
          <w:iCs/>
        </w:rPr>
        <w:tab/>
      </w:r>
      <w:r w:rsidR="00601CA6" w:rsidRPr="00885F08">
        <w:rPr>
          <w:bCs/>
          <w:iCs/>
        </w:rPr>
        <w:t xml:space="preserve">vyjadřuje znepokojení nad vysokými životními náklady, neboť od pandemie COVID-19 v Evropě vzrostly ceny potravin a energií; konstatuje, že cena jídla v eurozóně byla </w:t>
      </w:r>
      <w:r w:rsidR="00601CA6" w:rsidRPr="00885F08">
        <w:rPr>
          <w:bCs/>
          <w:iCs/>
        </w:rPr>
        <w:lastRenderedPageBreak/>
        <w:t>v</w:t>
      </w:r>
      <w:r w:rsidRPr="00E935A3">
        <w:t> </w:t>
      </w:r>
      <w:r w:rsidR="00601CA6" w:rsidRPr="00885F08">
        <w:rPr>
          <w:bCs/>
          <w:iCs/>
        </w:rPr>
        <w:t>roce 2025 v průměru o třetinu vyšší než před pandemií</w:t>
      </w:r>
      <w:r w:rsidR="00601CA6">
        <w:rPr>
          <w:rStyle w:val="FootnoteReference"/>
          <w:bCs/>
          <w:iCs/>
        </w:rPr>
        <w:footnoteReference w:id="4"/>
      </w:r>
      <w:r w:rsidR="00601CA6" w:rsidRPr="00885F08">
        <w:rPr>
          <w:bCs/>
          <w:iCs/>
        </w:rPr>
        <w:t xml:space="preserve"> a že má dopad zejména na domácnosti s nízkými příjmy;</w:t>
      </w:r>
    </w:p>
    <w:p w14:paraId="77B40E62" w14:textId="34848CAA" w:rsidR="002652AF" w:rsidRPr="00E41204" w:rsidRDefault="002652AF" w:rsidP="009B0998">
      <w:pPr>
        <w:pStyle w:val="NormalHanging12a"/>
      </w:pPr>
      <w:r w:rsidRPr="00E41204">
        <w:t>1</w:t>
      </w:r>
      <w:r w:rsidR="009E35A1">
        <w:t>2</w:t>
      </w:r>
      <w:r w:rsidRPr="00E41204">
        <w:t>.</w:t>
      </w:r>
      <w:r w:rsidRPr="00E41204">
        <w:tab/>
        <w:t>upozorňuje na to, že vývoj cen může být narušen zejména nejistou geopolitickou situací, riziky pro energetickou bezpečnost a překážkami obchodu;</w:t>
      </w:r>
    </w:p>
    <w:p w14:paraId="5198B325" w14:textId="5C153298" w:rsidR="002652AF" w:rsidRPr="00E41204" w:rsidRDefault="002652AF" w:rsidP="009B0998">
      <w:pPr>
        <w:pStyle w:val="NormalHanging12a"/>
      </w:pPr>
      <w:r w:rsidRPr="00E41204">
        <w:t>1</w:t>
      </w:r>
      <w:r w:rsidR="009E35A1">
        <w:t>3</w:t>
      </w:r>
      <w:r w:rsidRPr="00E41204">
        <w:t>.</w:t>
      </w:r>
      <w:r w:rsidRPr="00E41204">
        <w:tab/>
        <w:t>vyzývá ECB, aby posoudila vhodnost svého symetrického cíle, a přihlédla přitom i ke kvalitativním faktorům; bere na vědomí hodnocení strategie měnové politiky v roce 2025 a vybízí ECB, aby tato hodnocení prováděla pravidelně;</w:t>
      </w:r>
    </w:p>
    <w:p w14:paraId="6A1D81DC" w14:textId="3442CD15" w:rsidR="002652AF" w:rsidRPr="00E41204" w:rsidRDefault="002652AF" w:rsidP="009B0998">
      <w:pPr>
        <w:pStyle w:val="NormalHanging12a"/>
      </w:pPr>
      <w:r w:rsidRPr="00E41204">
        <w:t>1</w:t>
      </w:r>
      <w:r w:rsidR="009E35A1">
        <w:t>4</w:t>
      </w:r>
      <w:r w:rsidRPr="00E41204">
        <w:t>.</w:t>
      </w:r>
      <w:r w:rsidRPr="00E41204">
        <w:tab/>
        <w:t>zdůrazňuje, že programy ECB na nákup aktiv jsou nekonvenčními nástroji měnové politiky, které mají vedlejší účinky; konstatuje zejména, že tyto programy mohou narušit cenové signály; všímá si, že ECB začala svou rozvahu snižovat jen velmi pozvolna; podporuje ECB v dalším omezování její přímé role v nákupu cenných papírů; vyzývá ECB, aby postupně ukončila své programy nákupu státních dluhopisů; vyjadřuje politování nad dopadem fiskální pozice na plnění primárního mandátu ECB;</w:t>
      </w:r>
    </w:p>
    <w:p w14:paraId="090BB296" w14:textId="01C26CA2" w:rsidR="002652AF" w:rsidRPr="00E41204" w:rsidRDefault="002652AF" w:rsidP="009B0998">
      <w:pPr>
        <w:pStyle w:val="NormalHanging12a"/>
      </w:pPr>
      <w:r w:rsidRPr="00E41204">
        <w:t>1</w:t>
      </w:r>
      <w:r w:rsidR="009E35A1">
        <w:t>5</w:t>
      </w:r>
      <w:r w:rsidRPr="00E41204">
        <w:t>.</w:t>
      </w:r>
      <w:r w:rsidRPr="00E41204">
        <w:tab/>
        <w:t>vyjadřuje politování nad tím, že od finanční krize v roce 2008 režimy krátkodobých úvěrů ECB z velké části nahradily soukromý trh mezibankovního financování; vyzývá ECB, aby bankám neplatila sazby z vkladů, které jsou vyšší než tržní sazby, neboť to je v rozporu se zásadou otevřeného tržního hospodářství s volnou hospodářskou soutěží, a aby odstranila veškeré překážky, které brání oživení krátkodobých nezajištěných mezibankovních trhů;</w:t>
      </w:r>
    </w:p>
    <w:p w14:paraId="20CED9EB" w14:textId="1ACE39B4" w:rsidR="002652AF" w:rsidRPr="00E41204" w:rsidRDefault="002652AF" w:rsidP="009B0998">
      <w:pPr>
        <w:pStyle w:val="NormalHanging12a"/>
      </w:pPr>
      <w:r w:rsidRPr="00E41204">
        <w:t>1</w:t>
      </w:r>
      <w:r w:rsidR="009E35A1">
        <w:t>6</w:t>
      </w:r>
      <w:r w:rsidRPr="00E41204">
        <w:t>.</w:t>
      </w:r>
      <w:r w:rsidRPr="00E41204">
        <w:tab/>
        <w:t>zdůrazňuje, že je důležité zajistit vysoké standardy u požadavků na kvalitu kolaterálu v úvěrových ujednáních s ECB; uznává, že standardy kolaterálu lze použít jako nástroj pro transmisi měnové politiky;</w:t>
      </w:r>
    </w:p>
    <w:p w14:paraId="3A8AD367" w14:textId="7488605E" w:rsidR="002652AF" w:rsidRPr="00E41204" w:rsidRDefault="002652AF" w:rsidP="009B0998">
      <w:pPr>
        <w:pStyle w:val="NormalHanging12a"/>
      </w:pPr>
      <w:r w:rsidRPr="00E41204">
        <w:t>1</w:t>
      </w:r>
      <w:r w:rsidR="009E35A1">
        <w:t>7</w:t>
      </w:r>
      <w:r w:rsidRPr="00E41204">
        <w:t>.</w:t>
      </w:r>
      <w:r w:rsidRPr="00E41204">
        <w:tab/>
        <w:t>podporuje snahu ECB, aby byly do monitorování cenových indexů zahrnuty nemovitosti obývané vlastníky, a to z důvodu reprezentativnosti a srovnatelnosti mezi zeměmi eurozóny, avšak vymiňuje si, aby použila harmonizovaný a metodologicky spolehlivý přístup;</w:t>
      </w:r>
    </w:p>
    <w:p w14:paraId="7ADCF7BF" w14:textId="77777777" w:rsidR="002652AF" w:rsidRPr="00E41204" w:rsidRDefault="002652AF" w:rsidP="00885F08">
      <w:pPr>
        <w:pStyle w:val="Normal12a"/>
        <w:ind w:left="566" w:hanging="566"/>
      </w:pPr>
      <w:r w:rsidRPr="00E41204">
        <w:rPr>
          <w:i/>
        </w:rPr>
        <w:t>Sekundární cíl: podpora obecných hospodářských politik v Unii</w:t>
      </w:r>
    </w:p>
    <w:p w14:paraId="0A1958B8" w14:textId="2EE5ECE9" w:rsidR="002652AF" w:rsidRPr="00E41204" w:rsidRDefault="002652AF" w:rsidP="009B0998">
      <w:pPr>
        <w:pStyle w:val="NormalHanging12a"/>
      </w:pPr>
      <w:r w:rsidRPr="00E41204">
        <w:t>1</w:t>
      </w:r>
      <w:r w:rsidR="009E35A1">
        <w:t>8</w:t>
      </w:r>
      <w:r w:rsidRPr="00E41204">
        <w:t>.</w:t>
      </w:r>
      <w:r w:rsidRPr="00E41204">
        <w:tab/>
        <w:t>konstatuje, že podle čl. 127 odst. 1 Smlouvy o fungování EU musí ECB podporovat obecné hospodářské politiky v Unii se záměrem přispět k dosažení cílů Unie, jak jsou vymezeny v článku 3 Smlouvy o EU, aniž by tím byla dotčena její povinnost udržovat cenovou stabilitu;</w:t>
      </w:r>
    </w:p>
    <w:p w14:paraId="096D47EA" w14:textId="45BE7CBD" w:rsidR="002652AF" w:rsidRPr="00E41204" w:rsidRDefault="002652AF" w:rsidP="009B0998">
      <w:pPr>
        <w:pStyle w:val="NormalHanging12a"/>
      </w:pPr>
      <w:r w:rsidRPr="00E41204">
        <w:t>1</w:t>
      </w:r>
      <w:r w:rsidR="009E35A1">
        <w:t>9</w:t>
      </w:r>
      <w:r w:rsidRPr="00E41204">
        <w:t>.</w:t>
      </w:r>
      <w:r w:rsidRPr="00E41204">
        <w:tab/>
        <w:t xml:space="preserve">připomíná, že </w:t>
      </w:r>
      <w:proofErr w:type="spellStart"/>
      <w:r w:rsidRPr="00E41204">
        <w:t>Eurosystém</w:t>
      </w:r>
      <w:proofErr w:type="spellEnd"/>
      <w:r w:rsidRPr="00E41204">
        <w:t xml:space="preserve"> byl vybudován na principu měnové dominance;</w:t>
      </w:r>
    </w:p>
    <w:p w14:paraId="406C90E8" w14:textId="37C42D30" w:rsidR="002652AF" w:rsidRPr="00E41204" w:rsidRDefault="009E35A1" w:rsidP="009B0998">
      <w:pPr>
        <w:pStyle w:val="NormalHanging12a"/>
      </w:pPr>
      <w:r>
        <w:t>20</w:t>
      </w:r>
      <w:r w:rsidR="002652AF" w:rsidRPr="00E41204">
        <w:t>.</w:t>
      </w:r>
      <w:r w:rsidR="002652AF" w:rsidRPr="00E41204">
        <w:tab/>
        <w:t>v kontextu Hospodářské a měnové unie a rámce správy ekonomických záležitostí EU upozorňuje na význam zdravých a udržitelných veřejných financí, neboť mohou odolat v prostředí vysokých úrokových sazeb, doplňují snahy ECB o udržení nízké inflace, udržují stabilní hospodářství a jsou odolné vůči budoucím hospodářským a finančním otřesům;</w:t>
      </w:r>
    </w:p>
    <w:p w14:paraId="1FFFF744" w14:textId="7C064BB2" w:rsidR="002652AF" w:rsidRPr="00E41204" w:rsidRDefault="009E35A1" w:rsidP="009B0998">
      <w:pPr>
        <w:pStyle w:val="NormalHanging12a"/>
      </w:pPr>
      <w:r>
        <w:lastRenderedPageBreak/>
        <w:t>2</w:t>
      </w:r>
      <w:r w:rsidR="002652AF" w:rsidRPr="00E41204">
        <w:t>1.</w:t>
      </w:r>
      <w:r w:rsidR="002652AF" w:rsidRPr="00E41204">
        <w:tab/>
        <w:t>bere na vědomí odlišné zůstatky systému TARGET2 v důsledku přeshraničních transakcí; všímá si rizika, že zůstatky systému TARGET2 by se mohly stát strukturálním problémem, a navrhuje, aby byly zváženy úpravy, které nesouvisejí s měnovou politikou;</w:t>
      </w:r>
    </w:p>
    <w:p w14:paraId="39BD9D28" w14:textId="1892F3E3" w:rsidR="002652AF" w:rsidRPr="00E41204" w:rsidRDefault="002652AF" w:rsidP="009B0998">
      <w:pPr>
        <w:pStyle w:val="NormalHanging12a"/>
      </w:pPr>
      <w:r w:rsidRPr="00E41204">
        <w:t>2</w:t>
      </w:r>
      <w:r w:rsidR="009E35A1">
        <w:t>2</w:t>
      </w:r>
      <w:r w:rsidRPr="00E41204">
        <w:t>.</w:t>
      </w:r>
      <w:r w:rsidRPr="00E41204">
        <w:tab/>
        <w:t xml:space="preserve">zdůrazňuje, že ECB by měla posoudit možné dopady změny klimatu </w:t>
      </w:r>
      <w:r w:rsidR="00AF3ED5">
        <w:t xml:space="preserve">pouze </w:t>
      </w:r>
      <w:r w:rsidRPr="00E41204">
        <w:t>z hlediska cenové stability a v rámci svého mandátu;</w:t>
      </w:r>
    </w:p>
    <w:p w14:paraId="3A42DCE0" w14:textId="58A307A2" w:rsidR="002652AF" w:rsidRPr="00E41204" w:rsidRDefault="002652AF" w:rsidP="009B0998">
      <w:pPr>
        <w:pStyle w:val="NormalHanging12a"/>
      </w:pPr>
      <w:r w:rsidRPr="00E41204">
        <w:t>2</w:t>
      </w:r>
      <w:r w:rsidR="009E35A1">
        <w:t>3</w:t>
      </w:r>
      <w:r w:rsidRPr="00E41204">
        <w:t>.</w:t>
      </w:r>
      <w:r w:rsidRPr="00E41204">
        <w:tab/>
        <w:t>konstatuje, že koncept tržní neutrality souvisí se zásadou „otevřeného tržního hospodářství s volnou hospodářskou soutěží“; respektuje nezávislost ECB, současně ji však vybízí, aby řešila selhání trhu a zajistila účinné rozdělování zdrojů v dlouhodobém horizontu a aby zároveň zůstala co nejvíce apolitická a v různých situacích respektovala neutralitu trhu; zdůrazňuje, že tato rozhodnutí nesmí přijímat na úkor plnění svého mandátu;</w:t>
      </w:r>
    </w:p>
    <w:p w14:paraId="158DC1AB" w14:textId="0168A63A" w:rsidR="008959D8" w:rsidRPr="008959D8" w:rsidRDefault="002652AF" w:rsidP="009B0998">
      <w:pPr>
        <w:pStyle w:val="NormalHanging12a"/>
        <w:rPr>
          <w:bCs/>
          <w:iCs/>
        </w:rPr>
      </w:pPr>
      <w:r w:rsidRPr="00E41204">
        <w:t>2</w:t>
      </w:r>
      <w:r w:rsidR="009E35A1">
        <w:t>4</w:t>
      </w:r>
      <w:r w:rsidRPr="00E41204">
        <w:t>.</w:t>
      </w:r>
      <w:r w:rsidRPr="00E41204">
        <w:tab/>
        <w:t xml:space="preserve">konstatuje, že měnové politiky ECB, jejichž prostřednictvím se </w:t>
      </w:r>
      <w:proofErr w:type="gramStart"/>
      <w:r w:rsidRPr="00E41204">
        <w:t>snaží</w:t>
      </w:r>
      <w:proofErr w:type="gramEnd"/>
      <w:r w:rsidRPr="00E41204">
        <w:t xml:space="preserve"> plnit svůj primární mandát, jsou hodnoceny z hlediska přiměřenosti;</w:t>
      </w:r>
    </w:p>
    <w:p w14:paraId="1D1AD207" w14:textId="77777777" w:rsidR="002652AF" w:rsidRPr="00E41204" w:rsidRDefault="002652AF" w:rsidP="00885F08">
      <w:pPr>
        <w:pStyle w:val="Normal12a"/>
        <w:ind w:left="566" w:hanging="566"/>
      </w:pPr>
      <w:r w:rsidRPr="00E41204">
        <w:rPr>
          <w:b/>
          <w:i/>
        </w:rPr>
        <w:t>Další aspekty</w:t>
      </w:r>
    </w:p>
    <w:p w14:paraId="7B7F6D30" w14:textId="62A3CA64" w:rsidR="00AF1DBA" w:rsidRDefault="00AF1DBA" w:rsidP="009B0998">
      <w:pPr>
        <w:pStyle w:val="NormalHanging12a"/>
      </w:pPr>
      <w:r w:rsidRPr="00E935A3">
        <w:rPr>
          <w:bCs/>
          <w:iCs/>
        </w:rPr>
        <w:t>2</w:t>
      </w:r>
      <w:r>
        <w:rPr>
          <w:bCs/>
          <w:iCs/>
        </w:rPr>
        <w:t>5</w:t>
      </w:r>
      <w:r w:rsidRPr="00E935A3">
        <w:rPr>
          <w:bCs/>
          <w:iCs/>
        </w:rPr>
        <w:t>.</w:t>
      </w:r>
      <w:r w:rsidRPr="008959D8">
        <w:rPr>
          <w:bCs/>
          <w:iCs/>
        </w:rPr>
        <w:tab/>
      </w:r>
      <w:r w:rsidRPr="00E935A3">
        <w:rPr>
          <w:bCs/>
          <w:iCs/>
        </w:rPr>
        <w:t>připomíná, že rovný přístup k platebním službám má zásadní význam pro účast na hospodářském životě; zdůrazňuje, že rostoucí digitalizace plateb, pokud by byla ponechána výhradně soukromým subjektům a třetím zemím, by mohla vytvořit nové formy vyloučení jak pro uživatele, tak pro obchodníky; zdůrazňuje, že digitální euro, a to on-line i off-line, by mělo pomoci zajistit všeobecný přístup k platbám a dosáhnout širokého přijetí ze strany obchodníků v celé EU při plném dodržování norem v oblasti soukromí a údajů</w:t>
      </w:r>
      <w:r>
        <w:rPr>
          <w:bCs/>
          <w:iCs/>
        </w:rPr>
        <w:t>;</w:t>
      </w:r>
    </w:p>
    <w:p w14:paraId="28F80E4B" w14:textId="017B0AC3" w:rsidR="002652AF" w:rsidRPr="002B3BE5" w:rsidRDefault="002652AF" w:rsidP="009B0998">
      <w:pPr>
        <w:pStyle w:val="NormalHanging12a"/>
        <w:rPr>
          <w:bCs/>
          <w:iCs/>
        </w:rPr>
      </w:pPr>
      <w:r w:rsidRPr="00E41204">
        <w:t>2</w:t>
      </w:r>
      <w:r w:rsidR="009E35A1">
        <w:t>6</w:t>
      </w:r>
      <w:r w:rsidRPr="00E41204">
        <w:t>.</w:t>
      </w:r>
      <w:r w:rsidRPr="00E41204">
        <w:tab/>
      </w:r>
      <w:r w:rsidR="008959D8">
        <w:t>vítá</w:t>
      </w:r>
      <w:r w:rsidRPr="00E41204">
        <w:t xml:space="preserve"> probíhající diskuse o digitálním euru;</w:t>
      </w:r>
      <w:r w:rsidR="002B3BE5">
        <w:t xml:space="preserve"> </w:t>
      </w:r>
      <w:r w:rsidR="002B3BE5" w:rsidRPr="00885F08">
        <w:rPr>
          <w:bCs/>
          <w:iCs/>
        </w:rPr>
        <w:t>zdůrazňuje, že v souvislosti s vysokou geopolitickou nejistotou a přílišnou závislostí na platebních infrastrukturách mimo EU má vytvoření digitálního eura, které má doplňovat hotovostní a soukromé bankovní služby, zásadní význam pro posílení měnové suverenity Unie, snížení roztříštěnosti maloobchodních plateb a podporu integrity a odolnosti jednotného trhu;</w:t>
      </w:r>
    </w:p>
    <w:p w14:paraId="4F490C1E" w14:textId="68588373" w:rsidR="002652AF" w:rsidRPr="00E41204" w:rsidRDefault="002652AF" w:rsidP="009B0998">
      <w:pPr>
        <w:pStyle w:val="NormalHanging12a"/>
      </w:pPr>
      <w:r w:rsidRPr="00E41204">
        <w:t>2</w:t>
      </w:r>
      <w:r w:rsidR="009E35A1">
        <w:t>7</w:t>
      </w:r>
      <w:r w:rsidRPr="00E41204">
        <w:t>.</w:t>
      </w:r>
      <w:r w:rsidRPr="00E41204">
        <w:tab/>
        <w:t>vítá probíhající krátkodobé (</w:t>
      </w:r>
      <w:proofErr w:type="spellStart"/>
      <w:r w:rsidRPr="00E41204">
        <w:t>Pontes</w:t>
      </w:r>
      <w:proofErr w:type="spellEnd"/>
      <w:r w:rsidRPr="00E41204">
        <w:t>) a dlouhodobé (Appia) projekty, které se věnují technologiím distribuovaného registru pro vypořádání peněz centrální banky mezi profesionálními klienty;</w:t>
      </w:r>
    </w:p>
    <w:p w14:paraId="4062AF91" w14:textId="26B7BDDA" w:rsidR="002652AF" w:rsidRPr="00E41204" w:rsidRDefault="002652AF" w:rsidP="009B0998">
      <w:pPr>
        <w:pStyle w:val="NormalHanging12a"/>
      </w:pPr>
      <w:r w:rsidRPr="00E41204">
        <w:t>2</w:t>
      </w:r>
      <w:r w:rsidR="009E35A1">
        <w:t>8</w:t>
      </w:r>
      <w:r w:rsidRPr="00E41204">
        <w:t>.</w:t>
      </w:r>
      <w:r w:rsidRPr="00E41204">
        <w:tab/>
        <w:t>zdůrazňuje, že je důležité zachovat roli hotovosti; bere na vědomí probíhající diskuse o návrhu nařízení o postavení hotovosti jako zákonného platidla;</w:t>
      </w:r>
    </w:p>
    <w:p w14:paraId="24F63142" w14:textId="71FB28C9" w:rsidR="002652AF" w:rsidRPr="00E41204" w:rsidRDefault="002652AF" w:rsidP="009B0998">
      <w:pPr>
        <w:pStyle w:val="NormalHanging12a"/>
      </w:pPr>
      <w:r w:rsidRPr="00E41204">
        <w:t>2</w:t>
      </w:r>
      <w:r w:rsidR="009E35A1">
        <w:t>9</w:t>
      </w:r>
      <w:r w:rsidRPr="00E41204">
        <w:t>.</w:t>
      </w:r>
      <w:r w:rsidRPr="00E41204">
        <w:tab/>
        <w:t xml:space="preserve">vyzývá ECB, aby zintenzivnila monitorování </w:t>
      </w:r>
      <w:proofErr w:type="spellStart"/>
      <w:r w:rsidRPr="00E41204">
        <w:t>kryptoaktiv</w:t>
      </w:r>
      <w:proofErr w:type="spellEnd"/>
      <w:r w:rsidRPr="00E41204">
        <w:t xml:space="preserve">, jako je např. </w:t>
      </w:r>
      <w:proofErr w:type="spellStart"/>
      <w:r w:rsidRPr="00E41204">
        <w:t>stablecoin</w:t>
      </w:r>
      <w:proofErr w:type="spellEnd"/>
      <w:r w:rsidRPr="00E41204">
        <w:t>;</w:t>
      </w:r>
    </w:p>
    <w:p w14:paraId="13CC73D1" w14:textId="4B58A9FE" w:rsidR="002652AF" w:rsidRPr="00E41204" w:rsidRDefault="009E35A1" w:rsidP="009B0998">
      <w:pPr>
        <w:pStyle w:val="NormalHanging12a"/>
      </w:pPr>
      <w:r>
        <w:t>30</w:t>
      </w:r>
      <w:r w:rsidR="002652AF" w:rsidRPr="00E41204">
        <w:t>.</w:t>
      </w:r>
      <w:r w:rsidR="002652AF" w:rsidRPr="00E41204">
        <w:tab/>
        <w:t xml:space="preserve">podporuje ECB v jejích snahách zajistit mezinárodní roli eura, mimo jiné prostřednictvím dostatečných měnových swapů a </w:t>
      </w:r>
      <w:proofErr w:type="spellStart"/>
      <w:r w:rsidR="002652AF" w:rsidRPr="00E41204">
        <w:t>repo</w:t>
      </w:r>
      <w:proofErr w:type="spellEnd"/>
      <w:r w:rsidR="002652AF" w:rsidRPr="00E41204">
        <w:t xml:space="preserve"> linek;</w:t>
      </w:r>
    </w:p>
    <w:p w14:paraId="2583CD4D" w14:textId="237E6299" w:rsidR="002652AF" w:rsidRPr="00E41204" w:rsidRDefault="009E35A1" w:rsidP="009B0998">
      <w:pPr>
        <w:pStyle w:val="NormalHanging12a"/>
      </w:pPr>
      <w:r>
        <w:t>31</w:t>
      </w:r>
      <w:r w:rsidR="002652AF" w:rsidRPr="00E41204">
        <w:t>.</w:t>
      </w:r>
      <w:r w:rsidR="002652AF" w:rsidRPr="00E41204">
        <w:tab/>
        <w:t>vítá Bulharskou republiku jako 21. člena eurozóny s účinností od 1. ledna 2026;</w:t>
      </w:r>
    </w:p>
    <w:p w14:paraId="4C67DB8A" w14:textId="42993B95" w:rsidR="002652AF" w:rsidRPr="00E41204" w:rsidRDefault="009E35A1" w:rsidP="009B0998">
      <w:pPr>
        <w:pStyle w:val="NormalHanging12a"/>
      </w:pPr>
      <w:r>
        <w:t>3</w:t>
      </w:r>
      <w:r w:rsidR="002652AF" w:rsidRPr="00E41204">
        <w:t>2.</w:t>
      </w:r>
      <w:r w:rsidR="002652AF" w:rsidRPr="00E41204">
        <w:tab/>
        <w:t>vyjadřuje znepokojení nad dočasným výpadkem systému ECB pro zúčtování plateb v reálném čase T2 a T2S, k němuž došlo v únoru 2025; vyzývá ECB, aby pečlivě sledovala a zajistila řádné fungování systémů zúčtování;</w:t>
      </w:r>
    </w:p>
    <w:p w14:paraId="475E0B6F" w14:textId="0B8F9F38" w:rsidR="002652AF" w:rsidRPr="00E41204" w:rsidRDefault="002652AF" w:rsidP="009B0998">
      <w:pPr>
        <w:pStyle w:val="NormalHanging12a"/>
      </w:pPr>
      <w:r w:rsidRPr="00E41204">
        <w:lastRenderedPageBreak/>
        <w:t>3</w:t>
      </w:r>
      <w:r w:rsidR="009E35A1">
        <w:t>3</w:t>
      </w:r>
      <w:r w:rsidRPr="00E41204">
        <w:t>.</w:t>
      </w:r>
      <w:r w:rsidRPr="00E41204">
        <w:tab/>
        <w:t xml:space="preserve">vyjadřuje znepokojení nad ztrátami, které ECB utrpěla v letech 2023 a 2024 v důsledku úrokového rizika; konstatuje, že tyto ztráty neohrožují provozní schopnost </w:t>
      </w:r>
      <w:proofErr w:type="spellStart"/>
      <w:r w:rsidRPr="00E41204">
        <w:t>Eurosystému</w:t>
      </w:r>
      <w:proofErr w:type="spellEnd"/>
      <w:r w:rsidRPr="00E41204">
        <w:t xml:space="preserve"> provádět svou měnovou politiku;</w:t>
      </w:r>
    </w:p>
    <w:p w14:paraId="7DE9740B" w14:textId="1FDBE3E3" w:rsidR="002652AF" w:rsidRPr="00E41204" w:rsidRDefault="002652AF" w:rsidP="009B0998">
      <w:pPr>
        <w:pStyle w:val="NormalHanging12a"/>
      </w:pPr>
      <w:r w:rsidRPr="00E41204">
        <w:t>3</w:t>
      </w:r>
      <w:r w:rsidR="009E35A1">
        <w:t>4</w:t>
      </w:r>
      <w:r w:rsidRPr="00E41204">
        <w:t>.</w:t>
      </w:r>
      <w:r w:rsidRPr="00E41204">
        <w:tab/>
        <w:t>podporuje roli ECB při podpoře finanční stability v rámci jednotného mechanismu dohledu a její funkci věřitele poslední instance pro solventní instituce, a to oproti kvalitnímu kolaterálu a s použitím sankčních sazeb, aby byla zachována likvidita a důvěra během krizí;</w:t>
      </w:r>
    </w:p>
    <w:p w14:paraId="0015B838" w14:textId="51C24C50" w:rsidR="002652AF" w:rsidRPr="00E41204" w:rsidRDefault="002652AF" w:rsidP="009B0998">
      <w:pPr>
        <w:pStyle w:val="NormalHanging12a"/>
      </w:pPr>
      <w:r w:rsidRPr="00E41204">
        <w:t>3</w:t>
      </w:r>
      <w:r w:rsidR="009E35A1">
        <w:t>5</w:t>
      </w:r>
      <w:r w:rsidRPr="00E41204">
        <w:t>.</w:t>
      </w:r>
      <w:r w:rsidRPr="00E41204">
        <w:tab/>
        <w:t>podporuje ECB v úsilí o zlepšení finanční gramotnosti v EU;</w:t>
      </w:r>
    </w:p>
    <w:p w14:paraId="5C48F750" w14:textId="25F67287" w:rsidR="002652AF" w:rsidRPr="00E41204" w:rsidRDefault="002652AF" w:rsidP="009B0998">
      <w:pPr>
        <w:pStyle w:val="NormalHanging12a"/>
      </w:pPr>
      <w:r w:rsidRPr="00E41204">
        <w:t>3</w:t>
      </w:r>
      <w:r w:rsidR="009E35A1">
        <w:t>6</w:t>
      </w:r>
      <w:r w:rsidRPr="00E41204">
        <w:t>.</w:t>
      </w:r>
      <w:r w:rsidRPr="00E41204">
        <w:tab/>
        <w:t>vítá, že ECB přislíbila, že bude usilovat o zjednodušení a že za tímto účelem např. vytvořila pracovní skupinu ECB na vysoké úrovni pro zjednodušení; poukazuje na to, že je třeba, aby tato pracovní skupina projevila velkou míru ambicí ve své práci a při navazujících opatřeních, a oceňuje podrobné diskuse ECB s Parlamentem;</w:t>
      </w:r>
    </w:p>
    <w:p w14:paraId="76449007" w14:textId="7A947A3C" w:rsidR="002652AF" w:rsidRPr="00E41204" w:rsidRDefault="002652AF" w:rsidP="009B0998">
      <w:pPr>
        <w:pStyle w:val="NormalHanging12a"/>
      </w:pPr>
      <w:r w:rsidRPr="00E41204">
        <w:t>3</w:t>
      </w:r>
      <w:r w:rsidR="009E35A1">
        <w:t>7</w:t>
      </w:r>
      <w:r w:rsidRPr="00E41204">
        <w:t>.</w:t>
      </w:r>
      <w:r w:rsidRPr="00E41204">
        <w:tab/>
        <w:t xml:space="preserve">vyzývá ECB, aby podporovala otevřený a konstruktivní interní dialog; vybízí ECB k dalšímu posílení rámců pro zastupování zaměstnanců a interního rámce pro </w:t>
      </w:r>
      <w:proofErr w:type="spellStart"/>
      <w:r w:rsidRPr="00E41204">
        <w:t>whistleblowing</w:t>
      </w:r>
      <w:proofErr w:type="spellEnd"/>
      <w:r w:rsidRPr="00E41204">
        <w:t>;</w:t>
      </w:r>
    </w:p>
    <w:p w14:paraId="3F564D76" w14:textId="2D223DCB" w:rsidR="002652AF" w:rsidRPr="00E41204" w:rsidRDefault="002652AF" w:rsidP="009B0998">
      <w:pPr>
        <w:pStyle w:val="NormalHanging12a"/>
      </w:pPr>
      <w:r w:rsidRPr="00E41204">
        <w:t>3</w:t>
      </w:r>
      <w:r w:rsidR="009E35A1">
        <w:t>8</w:t>
      </w:r>
      <w:r w:rsidRPr="00E41204">
        <w:t>.</w:t>
      </w:r>
      <w:r w:rsidRPr="00E41204">
        <w:tab/>
        <w:t>připomíná, že nominace do Výkonné rady ECB by měly být genderově vyvážené a založené na zásluhách a schopnostech a že Parlamentu by měly být předkládány užší seznamy kandidátů; dále připomíná, že osoby všech pohlaví by měly mít ve svých zemích stejné příležitosti k tomu, aby se mohli stát guvernéry národních centrálních bank;</w:t>
      </w:r>
    </w:p>
    <w:p w14:paraId="6CE67783" w14:textId="15A9611A" w:rsidR="002652AF" w:rsidRPr="00E41204" w:rsidRDefault="002652AF" w:rsidP="009B0998">
      <w:pPr>
        <w:pStyle w:val="NormalHanging12a"/>
      </w:pPr>
      <w:r w:rsidRPr="00E41204">
        <w:t>3</w:t>
      </w:r>
      <w:r w:rsidR="009E35A1">
        <w:t>9</w:t>
      </w:r>
      <w:r w:rsidRPr="00E41204">
        <w:t>.</w:t>
      </w:r>
      <w:r w:rsidRPr="00E41204">
        <w:tab/>
        <w:t>vyzývá ESCB, aby pokračoval v dialozích s vnitrostátními parlamenty a dále je posiloval, neboť se domnívá, že se tím posílí jeho legitimita a politiky;</w:t>
      </w:r>
    </w:p>
    <w:p w14:paraId="6BD76CA4" w14:textId="77777777" w:rsidR="00E41204" w:rsidRDefault="00E41204" w:rsidP="00885F08">
      <w:pPr>
        <w:pStyle w:val="NormalCenter12a"/>
        <w:ind w:left="566" w:hanging="566"/>
      </w:pPr>
      <w:r>
        <w:t>°</w:t>
      </w:r>
    </w:p>
    <w:p w14:paraId="56CD0C8E" w14:textId="77777777" w:rsidR="00E41204" w:rsidRDefault="00E41204" w:rsidP="00885F08">
      <w:pPr>
        <w:pStyle w:val="NormalCenter12a"/>
        <w:ind w:left="566" w:hanging="566"/>
      </w:pPr>
      <w:r>
        <w:t>°     °</w:t>
      </w:r>
    </w:p>
    <w:p w14:paraId="2FAD504D" w14:textId="1DFED972" w:rsidR="00D86D74" w:rsidRPr="00E41204" w:rsidRDefault="009E35A1" w:rsidP="009B0998">
      <w:pPr>
        <w:pStyle w:val="NormalHanging12a"/>
      </w:pPr>
      <w:r>
        <w:t>40</w:t>
      </w:r>
      <w:r w:rsidR="002652AF" w:rsidRPr="00E41204">
        <w:t>.</w:t>
      </w:r>
      <w:r w:rsidR="002652AF" w:rsidRPr="00E41204">
        <w:tab/>
        <w:t>pověřuje svou předsedkyni, aby předala toto usnesení Radě a Komisi.</w:t>
      </w:r>
    </w:p>
    <w:p w14:paraId="524165BD" w14:textId="5F72027C" w:rsidR="00E365E1" w:rsidRPr="00E41204" w:rsidRDefault="00E365E1" w:rsidP="00885F08">
      <w:pPr>
        <w:spacing w:after="240"/>
        <w:rPr>
          <w:szCs w:val="24"/>
        </w:rPr>
      </w:pPr>
    </w:p>
    <w:sectPr w:rsidR="00E365E1" w:rsidRPr="00E41204" w:rsidSect="00D86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A307F" w14:textId="77777777" w:rsidR="002119FB" w:rsidRPr="00D86D74" w:rsidRDefault="002119FB">
      <w:r w:rsidRPr="00D86D74">
        <w:separator/>
      </w:r>
    </w:p>
  </w:endnote>
  <w:endnote w:type="continuationSeparator" w:id="0">
    <w:p w14:paraId="17B663BB" w14:textId="77777777" w:rsidR="002119FB" w:rsidRPr="00D86D74" w:rsidRDefault="002119FB">
      <w:r w:rsidRPr="00D86D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8D2B" w14:textId="77777777" w:rsidR="00064002" w:rsidRPr="00D86D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A642" w14:textId="77777777" w:rsidR="00064002" w:rsidRPr="00D86D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27010" w14:textId="77777777" w:rsidR="00064002" w:rsidRPr="00D86D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5EDB8" w14:textId="77777777" w:rsidR="002119FB" w:rsidRPr="00D86D74" w:rsidRDefault="002119FB">
      <w:r w:rsidRPr="00D86D74">
        <w:separator/>
      </w:r>
    </w:p>
  </w:footnote>
  <w:footnote w:type="continuationSeparator" w:id="0">
    <w:p w14:paraId="3B10731F" w14:textId="77777777" w:rsidR="002119FB" w:rsidRPr="00D86D74" w:rsidRDefault="002119FB">
      <w:r w:rsidRPr="00D86D74">
        <w:continuationSeparator/>
      </w:r>
    </w:p>
  </w:footnote>
  <w:footnote w:id="1">
    <w:p w14:paraId="1784740A" w14:textId="2A805546" w:rsidR="008A65B0" w:rsidRPr="00885F08" w:rsidRDefault="008A65B0" w:rsidP="008A65B0">
      <w:pPr>
        <w:pStyle w:val="FootnoteText"/>
        <w:ind w:left="567" w:hanging="567"/>
        <w:rPr>
          <w:sz w:val="24"/>
          <w:szCs w:val="24"/>
          <w:lang w:val="cs-CZ"/>
        </w:rPr>
      </w:pPr>
      <w:r w:rsidRPr="00885F08">
        <w:rPr>
          <w:rStyle w:val="FootnoteReference"/>
          <w:sz w:val="24"/>
          <w:szCs w:val="24"/>
        </w:rPr>
        <w:footnoteRef/>
      </w:r>
      <w:r w:rsidRPr="00885F08">
        <w:rPr>
          <w:sz w:val="24"/>
          <w:szCs w:val="24"/>
          <w:lang w:val="cs-CZ"/>
        </w:rPr>
        <w:t xml:space="preserve"> </w:t>
      </w:r>
      <w:r w:rsidRPr="00885F08">
        <w:rPr>
          <w:sz w:val="24"/>
          <w:szCs w:val="24"/>
          <w:lang w:val="cs-CZ"/>
        </w:rPr>
        <w:tab/>
      </w:r>
      <w:r w:rsidRPr="008A65B0">
        <w:rPr>
          <w:sz w:val="24"/>
          <w:szCs w:val="24"/>
          <w:lang w:val="cs-CZ"/>
        </w:rPr>
        <w:t>„</w:t>
      </w:r>
      <w:proofErr w:type="spellStart"/>
      <w:r w:rsidRPr="008A65B0">
        <w:rPr>
          <w:sz w:val="24"/>
          <w:szCs w:val="24"/>
          <w:lang w:val="cs-CZ"/>
        </w:rPr>
        <w:t>Turning</w:t>
      </w:r>
      <w:proofErr w:type="spellEnd"/>
      <w:r w:rsidRPr="008A65B0">
        <w:rPr>
          <w:sz w:val="24"/>
          <w:szCs w:val="24"/>
          <w:lang w:val="cs-CZ"/>
        </w:rPr>
        <w:t xml:space="preserve"> point </w:t>
      </w:r>
      <w:proofErr w:type="spellStart"/>
      <w:r w:rsidRPr="008A65B0">
        <w:rPr>
          <w:sz w:val="24"/>
          <w:szCs w:val="24"/>
          <w:lang w:val="cs-CZ"/>
        </w:rPr>
        <w:t>or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continuity</w:t>
      </w:r>
      <w:proofErr w:type="spellEnd"/>
      <w:r w:rsidRPr="008A65B0">
        <w:rPr>
          <w:sz w:val="24"/>
          <w:szCs w:val="24"/>
          <w:lang w:val="cs-CZ"/>
        </w:rPr>
        <w:t xml:space="preserve">? </w:t>
      </w:r>
      <w:proofErr w:type="spellStart"/>
      <w:r w:rsidRPr="008A65B0">
        <w:rPr>
          <w:sz w:val="24"/>
          <w:szCs w:val="24"/>
          <w:lang w:val="cs-CZ"/>
        </w:rPr>
        <w:t>The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ECB’s</w:t>
      </w:r>
      <w:proofErr w:type="spellEnd"/>
      <w:r w:rsidRPr="008A65B0">
        <w:rPr>
          <w:sz w:val="24"/>
          <w:szCs w:val="24"/>
          <w:lang w:val="cs-CZ"/>
        </w:rPr>
        <w:t xml:space="preserve"> 2025 </w:t>
      </w:r>
      <w:proofErr w:type="spellStart"/>
      <w:r w:rsidRPr="008A65B0">
        <w:rPr>
          <w:sz w:val="24"/>
          <w:szCs w:val="24"/>
          <w:lang w:val="cs-CZ"/>
        </w:rPr>
        <w:t>strategy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review</w:t>
      </w:r>
      <w:proofErr w:type="spellEnd"/>
      <w:r w:rsidRPr="008A65B0">
        <w:rPr>
          <w:sz w:val="24"/>
          <w:szCs w:val="24"/>
          <w:lang w:val="cs-CZ"/>
        </w:rPr>
        <w:t>“, Evropský parlament, generální ředitelství pro hospodářství, transformaci a průmysl, EGOV, říjen 2025.</w:t>
      </w:r>
    </w:p>
  </w:footnote>
  <w:footnote w:id="2">
    <w:p w14:paraId="5C499AD4" w14:textId="3AD3BB96" w:rsidR="008A65B0" w:rsidRPr="00885F08" w:rsidRDefault="008A65B0" w:rsidP="00885F08">
      <w:pPr>
        <w:pStyle w:val="FootnoteText"/>
        <w:ind w:left="567" w:hanging="567"/>
        <w:rPr>
          <w:sz w:val="24"/>
          <w:szCs w:val="24"/>
          <w:lang w:val="cs-CZ"/>
        </w:rPr>
      </w:pPr>
      <w:r w:rsidRPr="00885F08">
        <w:rPr>
          <w:rStyle w:val="FootnoteReference"/>
          <w:sz w:val="24"/>
          <w:szCs w:val="24"/>
        </w:rPr>
        <w:footnoteRef/>
      </w:r>
      <w:r w:rsidRPr="00885F08">
        <w:rPr>
          <w:sz w:val="24"/>
          <w:szCs w:val="24"/>
          <w:lang w:val="cs-CZ"/>
        </w:rPr>
        <w:t xml:space="preserve"> </w:t>
      </w:r>
      <w:r w:rsidRPr="00885F08">
        <w:rPr>
          <w:sz w:val="24"/>
          <w:szCs w:val="24"/>
          <w:lang w:val="cs-CZ"/>
        </w:rPr>
        <w:tab/>
      </w:r>
      <w:r w:rsidRPr="008A65B0">
        <w:rPr>
          <w:sz w:val="24"/>
          <w:szCs w:val="24"/>
          <w:lang w:val="cs-CZ"/>
        </w:rPr>
        <w:t>„</w:t>
      </w:r>
      <w:proofErr w:type="spellStart"/>
      <w:r w:rsidRPr="008A65B0">
        <w:rPr>
          <w:sz w:val="24"/>
          <w:szCs w:val="24"/>
          <w:lang w:val="cs-CZ"/>
        </w:rPr>
        <w:t>The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silent</w:t>
      </w:r>
      <w:proofErr w:type="spellEnd"/>
      <w:r w:rsidRPr="008A65B0">
        <w:rPr>
          <w:sz w:val="24"/>
          <w:szCs w:val="24"/>
          <w:lang w:val="cs-CZ"/>
        </w:rPr>
        <w:t xml:space="preserve"> hand </w:t>
      </w:r>
      <w:proofErr w:type="spellStart"/>
      <w:r w:rsidRPr="008A65B0">
        <w:rPr>
          <w:sz w:val="24"/>
          <w:szCs w:val="24"/>
          <w:lang w:val="cs-CZ"/>
        </w:rPr>
        <w:t>of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central</w:t>
      </w:r>
      <w:proofErr w:type="spellEnd"/>
      <w:r w:rsidRPr="008A65B0">
        <w:rPr>
          <w:sz w:val="24"/>
          <w:szCs w:val="24"/>
          <w:lang w:val="cs-CZ"/>
        </w:rPr>
        <w:t xml:space="preserve"> banking: </w:t>
      </w:r>
      <w:proofErr w:type="spellStart"/>
      <w:r w:rsidRPr="008A65B0">
        <w:rPr>
          <w:sz w:val="24"/>
          <w:szCs w:val="24"/>
          <w:lang w:val="cs-CZ"/>
        </w:rPr>
        <w:t>collateral</w:t>
      </w:r>
      <w:proofErr w:type="spellEnd"/>
      <w:r w:rsidRPr="008A65B0">
        <w:rPr>
          <w:sz w:val="24"/>
          <w:szCs w:val="24"/>
          <w:lang w:val="cs-CZ"/>
        </w:rPr>
        <w:t xml:space="preserve"> framework“, Evropský parlament, generální ředitelství pro hospodářství, transformaci a průmysl, EGOV, červen 2025.</w:t>
      </w:r>
    </w:p>
  </w:footnote>
  <w:footnote w:id="3">
    <w:p w14:paraId="5CCA3C8C" w14:textId="5FCFC7C1" w:rsidR="008A65B0" w:rsidRPr="00885F08" w:rsidRDefault="008A65B0" w:rsidP="00885F08">
      <w:pPr>
        <w:pStyle w:val="FootnoteText"/>
        <w:ind w:left="567" w:hanging="567"/>
        <w:rPr>
          <w:sz w:val="24"/>
          <w:szCs w:val="24"/>
          <w:lang w:val="en-GB"/>
        </w:rPr>
      </w:pPr>
      <w:r w:rsidRPr="00885F08">
        <w:rPr>
          <w:rStyle w:val="FootnoteReference"/>
          <w:sz w:val="24"/>
          <w:szCs w:val="24"/>
        </w:rPr>
        <w:footnoteRef/>
      </w:r>
      <w:r w:rsidRPr="00885F08">
        <w:rPr>
          <w:sz w:val="24"/>
          <w:szCs w:val="24"/>
          <w:lang w:val="en-GB"/>
        </w:rPr>
        <w:t xml:space="preserve"> </w:t>
      </w:r>
      <w:r w:rsidRPr="00885F08">
        <w:rPr>
          <w:sz w:val="24"/>
          <w:szCs w:val="24"/>
          <w:lang w:val="en-GB"/>
        </w:rPr>
        <w:tab/>
      </w:r>
      <w:proofErr w:type="spellStart"/>
      <w:r w:rsidRPr="008A65B0">
        <w:rPr>
          <w:sz w:val="24"/>
          <w:szCs w:val="24"/>
          <w:lang w:val="cs-CZ"/>
        </w:rPr>
        <w:t>Cochrane</w:t>
      </w:r>
      <w:proofErr w:type="spellEnd"/>
      <w:r w:rsidRPr="008A65B0">
        <w:rPr>
          <w:sz w:val="24"/>
          <w:szCs w:val="24"/>
          <w:lang w:val="cs-CZ"/>
        </w:rPr>
        <w:t>, J. H. a kol., „</w:t>
      </w:r>
      <w:proofErr w:type="spellStart"/>
      <w:r w:rsidRPr="008A65B0">
        <w:rPr>
          <w:sz w:val="24"/>
          <w:szCs w:val="24"/>
          <w:lang w:val="cs-CZ"/>
        </w:rPr>
        <w:t>Crisis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Cycle</w:t>
      </w:r>
      <w:proofErr w:type="spellEnd"/>
      <w:r w:rsidRPr="008A65B0">
        <w:rPr>
          <w:sz w:val="24"/>
          <w:szCs w:val="24"/>
          <w:lang w:val="cs-CZ"/>
        </w:rPr>
        <w:t xml:space="preserve">: </w:t>
      </w:r>
      <w:proofErr w:type="spellStart"/>
      <w:r w:rsidRPr="008A65B0">
        <w:rPr>
          <w:sz w:val="24"/>
          <w:szCs w:val="24"/>
          <w:lang w:val="cs-CZ"/>
        </w:rPr>
        <w:t>Challenges</w:t>
      </w:r>
      <w:proofErr w:type="spellEnd"/>
      <w:r w:rsidRPr="008A65B0">
        <w:rPr>
          <w:sz w:val="24"/>
          <w:szCs w:val="24"/>
          <w:lang w:val="cs-CZ"/>
        </w:rPr>
        <w:t xml:space="preserve">, </w:t>
      </w:r>
      <w:proofErr w:type="spellStart"/>
      <w:r w:rsidRPr="008A65B0">
        <w:rPr>
          <w:sz w:val="24"/>
          <w:szCs w:val="24"/>
          <w:lang w:val="cs-CZ"/>
        </w:rPr>
        <w:t>Evolution</w:t>
      </w:r>
      <w:proofErr w:type="spellEnd"/>
      <w:r w:rsidRPr="008A65B0">
        <w:rPr>
          <w:sz w:val="24"/>
          <w:szCs w:val="24"/>
          <w:lang w:val="cs-CZ"/>
        </w:rPr>
        <w:t xml:space="preserve">, and </w:t>
      </w:r>
      <w:proofErr w:type="spellStart"/>
      <w:r w:rsidRPr="008A65B0">
        <w:rPr>
          <w:sz w:val="24"/>
          <w:szCs w:val="24"/>
          <w:lang w:val="cs-CZ"/>
        </w:rPr>
        <w:t>Future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of</w:t>
      </w:r>
      <w:proofErr w:type="spellEnd"/>
      <w:r w:rsidRPr="008A65B0">
        <w:rPr>
          <w:sz w:val="24"/>
          <w:szCs w:val="24"/>
          <w:lang w:val="cs-CZ"/>
        </w:rPr>
        <w:t xml:space="preserve"> </w:t>
      </w:r>
      <w:proofErr w:type="spellStart"/>
      <w:r w:rsidRPr="008A65B0">
        <w:rPr>
          <w:sz w:val="24"/>
          <w:szCs w:val="24"/>
          <w:lang w:val="cs-CZ"/>
        </w:rPr>
        <w:t>the</w:t>
      </w:r>
      <w:proofErr w:type="spellEnd"/>
      <w:r w:rsidRPr="008A65B0">
        <w:rPr>
          <w:sz w:val="24"/>
          <w:szCs w:val="24"/>
          <w:lang w:val="cs-CZ"/>
        </w:rPr>
        <w:t xml:space="preserve"> Euro“, </w:t>
      </w:r>
      <w:proofErr w:type="spellStart"/>
      <w:r w:rsidRPr="008A65B0">
        <w:rPr>
          <w:sz w:val="24"/>
          <w:szCs w:val="24"/>
          <w:lang w:val="cs-CZ"/>
        </w:rPr>
        <w:t>Princeton</w:t>
      </w:r>
      <w:proofErr w:type="spellEnd"/>
      <w:r w:rsidRPr="008A65B0">
        <w:rPr>
          <w:sz w:val="24"/>
          <w:szCs w:val="24"/>
          <w:lang w:val="cs-CZ"/>
        </w:rPr>
        <w:t xml:space="preserve"> University </w:t>
      </w:r>
      <w:proofErr w:type="spellStart"/>
      <w:r w:rsidRPr="008A65B0">
        <w:rPr>
          <w:sz w:val="24"/>
          <w:szCs w:val="24"/>
          <w:lang w:val="cs-CZ"/>
        </w:rPr>
        <w:t>Press</w:t>
      </w:r>
      <w:proofErr w:type="spellEnd"/>
      <w:r w:rsidRPr="008A65B0">
        <w:rPr>
          <w:sz w:val="24"/>
          <w:szCs w:val="24"/>
          <w:lang w:val="cs-CZ"/>
        </w:rPr>
        <w:t>, 2025.</w:t>
      </w:r>
    </w:p>
  </w:footnote>
  <w:footnote w:id="4">
    <w:p w14:paraId="704B0409" w14:textId="3E669EE9" w:rsidR="00601CA6" w:rsidRPr="00885F08" w:rsidRDefault="00601CA6" w:rsidP="00885F08">
      <w:pPr>
        <w:pStyle w:val="FootnoteText"/>
        <w:ind w:left="567" w:hanging="567"/>
        <w:rPr>
          <w:sz w:val="24"/>
          <w:szCs w:val="24"/>
          <w:lang w:val="cs-CZ"/>
        </w:rPr>
      </w:pPr>
      <w:r w:rsidRPr="00885F08">
        <w:rPr>
          <w:rStyle w:val="FootnoteReference"/>
          <w:sz w:val="24"/>
          <w:szCs w:val="24"/>
        </w:rPr>
        <w:footnoteRef/>
      </w:r>
      <w:r w:rsidRPr="00885F08">
        <w:rPr>
          <w:sz w:val="24"/>
          <w:szCs w:val="24"/>
          <w:lang w:val="cs-CZ"/>
        </w:rPr>
        <w:t xml:space="preserve"> </w:t>
      </w:r>
      <w:r w:rsidRPr="00885F08">
        <w:rPr>
          <w:sz w:val="24"/>
          <w:szCs w:val="24"/>
          <w:lang w:val="cs-CZ"/>
        </w:rPr>
        <w:tab/>
      </w:r>
      <w:hyperlink r:id="rId1" w:history="1"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Blog Evropské centrální banky „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When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groceries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bite,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the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role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of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food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prices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for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inflation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in </w:t>
        </w:r>
        <w:proofErr w:type="spellStart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the</w:t>
        </w:r>
        <w:proofErr w:type="spellEnd"/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euro area“ (Když pro potraviny musíme hluboko do kapsy </w:t>
        </w:r>
        <w:r w:rsidR="00F22855"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>–</w:t>
        </w:r>
        <w:r w:rsidRPr="00790388">
          <w:rPr>
            <w:rStyle w:val="Hyperlink"/>
            <w:color w:val="auto"/>
            <w:sz w:val="24"/>
            <w:szCs w:val="24"/>
            <w:u w:val="none"/>
            <w:lang w:val="cs-CZ"/>
          </w:rPr>
          <w:t xml:space="preserve"> úloha cen potravin z hlediska inflace v eurozóně), 25. září 2025</w:t>
        </w:r>
      </w:hyperlink>
      <w:r w:rsidRPr="00790388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B3C95" w14:textId="77777777" w:rsidR="00064002" w:rsidRPr="00D86D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39C3" w14:textId="77777777" w:rsidR="00064002" w:rsidRPr="00D86D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1621" w14:textId="77777777" w:rsidR="00064002" w:rsidRPr="00D86D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2101659">
    <w:abstractNumId w:val="9"/>
  </w:num>
  <w:num w:numId="2" w16cid:durableId="62408843">
    <w:abstractNumId w:val="9"/>
  </w:num>
  <w:num w:numId="3" w16cid:durableId="1420835920">
    <w:abstractNumId w:val="7"/>
  </w:num>
  <w:num w:numId="4" w16cid:durableId="184681700">
    <w:abstractNumId w:val="7"/>
  </w:num>
  <w:num w:numId="5" w16cid:durableId="1732850333">
    <w:abstractNumId w:val="6"/>
  </w:num>
  <w:num w:numId="6" w16cid:durableId="478689682">
    <w:abstractNumId w:val="6"/>
  </w:num>
  <w:num w:numId="7" w16cid:durableId="1401362745">
    <w:abstractNumId w:val="5"/>
  </w:num>
  <w:num w:numId="8" w16cid:durableId="1895116220">
    <w:abstractNumId w:val="5"/>
  </w:num>
  <w:num w:numId="9" w16cid:durableId="1170830511">
    <w:abstractNumId w:val="4"/>
  </w:num>
  <w:num w:numId="10" w16cid:durableId="1800417899">
    <w:abstractNumId w:val="4"/>
  </w:num>
  <w:num w:numId="11" w16cid:durableId="1000154561">
    <w:abstractNumId w:val="8"/>
  </w:num>
  <w:num w:numId="12" w16cid:durableId="2128892895">
    <w:abstractNumId w:val="8"/>
  </w:num>
  <w:num w:numId="13" w16cid:durableId="501815257">
    <w:abstractNumId w:val="3"/>
  </w:num>
  <w:num w:numId="14" w16cid:durableId="296690719">
    <w:abstractNumId w:val="3"/>
  </w:num>
  <w:num w:numId="15" w16cid:durableId="1008287097">
    <w:abstractNumId w:val="2"/>
  </w:num>
  <w:num w:numId="16" w16cid:durableId="494079152">
    <w:abstractNumId w:val="2"/>
  </w:num>
  <w:num w:numId="17" w16cid:durableId="1208637945">
    <w:abstractNumId w:val="1"/>
  </w:num>
  <w:num w:numId="18" w16cid:durableId="1647389427">
    <w:abstractNumId w:val="1"/>
  </w:num>
  <w:num w:numId="19" w16cid:durableId="2031830021">
    <w:abstractNumId w:val="0"/>
  </w:num>
  <w:num w:numId="20" w16cid:durableId="1339193784">
    <w:abstractNumId w:val="0"/>
  </w:num>
  <w:num w:numId="21" w16cid:durableId="1059016574">
    <w:abstractNumId w:val="9"/>
  </w:num>
  <w:num w:numId="22" w16cid:durableId="1357805110">
    <w:abstractNumId w:val="7"/>
  </w:num>
  <w:num w:numId="23" w16cid:durableId="1396704489">
    <w:abstractNumId w:val="6"/>
  </w:num>
  <w:num w:numId="24" w16cid:durableId="2032952017">
    <w:abstractNumId w:val="5"/>
  </w:num>
  <w:num w:numId="25" w16cid:durableId="1540315120">
    <w:abstractNumId w:val="4"/>
  </w:num>
  <w:num w:numId="26" w16cid:durableId="1426729850">
    <w:abstractNumId w:val="8"/>
  </w:num>
  <w:num w:numId="27" w16cid:durableId="1778134925">
    <w:abstractNumId w:val="3"/>
  </w:num>
  <w:num w:numId="28" w16cid:durableId="1108085321">
    <w:abstractNumId w:val="2"/>
  </w:num>
  <w:num w:numId="29" w16cid:durableId="1497187159">
    <w:abstractNumId w:val="1"/>
  </w:num>
  <w:num w:numId="30" w16cid:durableId="1853302568">
    <w:abstractNumId w:val="0"/>
  </w:num>
  <w:num w:numId="31" w16cid:durableId="590772299">
    <w:abstractNumId w:val="9"/>
  </w:num>
  <w:num w:numId="32" w16cid:durableId="1142038775">
    <w:abstractNumId w:val="7"/>
  </w:num>
  <w:num w:numId="33" w16cid:durableId="1708531221">
    <w:abstractNumId w:val="6"/>
  </w:num>
  <w:num w:numId="34" w16cid:durableId="1077555599">
    <w:abstractNumId w:val="5"/>
  </w:num>
  <w:num w:numId="35" w16cid:durableId="654650747">
    <w:abstractNumId w:val="4"/>
  </w:num>
  <w:num w:numId="36" w16cid:durableId="2127651370">
    <w:abstractNumId w:val="8"/>
  </w:num>
  <w:num w:numId="37" w16cid:durableId="151408411">
    <w:abstractNumId w:val="3"/>
  </w:num>
  <w:num w:numId="38" w16cid:durableId="1932082794">
    <w:abstractNumId w:val="2"/>
  </w:num>
  <w:num w:numId="39" w16cid:durableId="7997757">
    <w:abstractNumId w:val="1"/>
  </w:num>
  <w:num w:numId="40" w16cid:durableId="1677460054">
    <w:abstractNumId w:val="0"/>
  </w:num>
  <w:num w:numId="41" w16cid:durableId="1780176985">
    <w:abstractNumId w:val="10"/>
  </w:num>
  <w:num w:numId="42" w16cid:durableId="852567675">
    <w:abstractNumId w:val="10"/>
  </w:num>
  <w:num w:numId="43" w16cid:durableId="2080252338">
    <w:abstractNumId w:val="10"/>
  </w:num>
  <w:num w:numId="44" w16cid:durableId="1947419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CS"/>
    <w:docVar w:name="dvnumam" w:val="0"/>
    <w:docVar w:name="dvpe" w:val="778.306"/>
    <w:docVar w:name="dvrapporteur" w:val="Zpravodaj: "/>
    <w:docVar w:name="dvtitre" w:val="Usnesení Evropského parlamentu ze dne 10. února 2026 o Evropské centrální bance – výroční zpráva za rok 2025(2025/2182(INI))"/>
  </w:docVars>
  <w:rsids>
    <w:rsidRoot w:val="002119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9FB"/>
    <w:rsid w:val="002652AF"/>
    <w:rsid w:val="002767FF"/>
    <w:rsid w:val="002B18FE"/>
    <w:rsid w:val="002B3BE5"/>
    <w:rsid w:val="002B5493"/>
    <w:rsid w:val="00343214"/>
    <w:rsid w:val="00361C00"/>
    <w:rsid w:val="00371DE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CA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388"/>
    <w:rsid w:val="007D1690"/>
    <w:rsid w:val="007E22AD"/>
    <w:rsid w:val="00817416"/>
    <w:rsid w:val="00842779"/>
    <w:rsid w:val="00865F67"/>
    <w:rsid w:val="00881A7B"/>
    <w:rsid w:val="008840E5"/>
    <w:rsid w:val="00885F08"/>
    <w:rsid w:val="00887B3E"/>
    <w:rsid w:val="008959D8"/>
    <w:rsid w:val="008A65B0"/>
    <w:rsid w:val="008C2AC6"/>
    <w:rsid w:val="00930C23"/>
    <w:rsid w:val="0093193B"/>
    <w:rsid w:val="009509D8"/>
    <w:rsid w:val="00950B64"/>
    <w:rsid w:val="00981893"/>
    <w:rsid w:val="009B0998"/>
    <w:rsid w:val="009E35A1"/>
    <w:rsid w:val="00A1687D"/>
    <w:rsid w:val="00A43E52"/>
    <w:rsid w:val="00A4678D"/>
    <w:rsid w:val="00A72CF8"/>
    <w:rsid w:val="00A778C7"/>
    <w:rsid w:val="00AB441E"/>
    <w:rsid w:val="00AB6293"/>
    <w:rsid w:val="00AE0928"/>
    <w:rsid w:val="00AF1DBA"/>
    <w:rsid w:val="00AF3B82"/>
    <w:rsid w:val="00AF3ED5"/>
    <w:rsid w:val="00B12E95"/>
    <w:rsid w:val="00B22876"/>
    <w:rsid w:val="00B558F0"/>
    <w:rsid w:val="00B97ABC"/>
    <w:rsid w:val="00BA34B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712"/>
    <w:rsid w:val="00D834A0"/>
    <w:rsid w:val="00D86D74"/>
    <w:rsid w:val="00D872DF"/>
    <w:rsid w:val="00D91E21"/>
    <w:rsid w:val="00DA7FCD"/>
    <w:rsid w:val="00E365E1"/>
    <w:rsid w:val="00E41204"/>
    <w:rsid w:val="00E719EF"/>
    <w:rsid w:val="00E820A4"/>
    <w:rsid w:val="00EB006A"/>
    <w:rsid w:val="00EB4772"/>
    <w:rsid w:val="00ED169E"/>
    <w:rsid w:val="00ED4235"/>
    <w:rsid w:val="00F04346"/>
    <w:rsid w:val="00F075DC"/>
    <w:rsid w:val="00F149E9"/>
    <w:rsid w:val="00F2285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9FF66"/>
  <w15:chartTrackingRefBased/>
  <w15:docId w15:val="{F3D2CDDB-6196-4DDB-9615-EF3AB8DD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652A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2652A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652A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652A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2652AF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E41204"/>
    <w:rPr>
      <w:sz w:val="24"/>
      <w:lang w:val="cs-CZ"/>
    </w:rPr>
  </w:style>
  <w:style w:type="character" w:styleId="Hyperlink">
    <w:name w:val="Hyperlink"/>
    <w:basedOn w:val="DefaultParagraphFont"/>
    <w:rsid w:val="00601C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b.europa.eu/press/blog/date/2025/html/ecb.blog20250925~7fd65a388a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2012</Words>
  <Characters>11500</Characters>
  <Application>Microsoft Office Word</Application>
  <DocSecurity>0</DocSecurity>
  <Lines>547</Lines>
  <Paragraphs>435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2026-02-10T14:36:00Z</dcterms:created>
  <dcterms:modified xsi:type="dcterms:W3CDTF">2026-02-10T14:36:00Z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A10-0002/2026</vt:lpwstr>
  </property>
  <property fmtid="{D5CDD505-2E9C-101B-9397-08002B2CF9AE}" pid="4" name="&lt;Type&gt;">
    <vt:lpwstr>RR</vt:lpwstr>
  </property>
</Properties>
</file>